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D4E5" w14:textId="77777777" w:rsidR="00635AEF" w:rsidRDefault="00000000">
      <w:pPr>
        <w:rPr>
          <w:rFonts w:ascii="Verdana" w:eastAsia="Arial Unicode MS" w:hAnsi="Verdana" w:cs="Arial Unicode MS"/>
          <w:b/>
          <w:color w:val="31849B" w:themeColor="accent5" w:themeShade="BF"/>
          <w:sz w:val="20"/>
          <w:szCs w:val="20"/>
          <w:lang w:val="en-GB"/>
        </w:rPr>
      </w:pPr>
      <w:r>
        <w:rPr>
          <w:rFonts w:ascii="Verdana" w:eastAsia="Arial Unicode MS" w:hAnsi="Verdana" w:cs="Arial Unicode MS"/>
          <w:b/>
          <w:color w:val="31849B" w:themeColor="accent5" w:themeShade="BF"/>
          <w:sz w:val="20"/>
          <w:szCs w:val="20"/>
          <w:lang w:val="en-GB"/>
        </w:rPr>
        <w:t>Important:</w:t>
      </w:r>
    </w:p>
    <w:p w14:paraId="21053879" w14:textId="77777777" w:rsidR="00635AEF" w:rsidRDefault="00000000">
      <w:pPr>
        <w:rPr>
          <w:rFonts w:ascii="Verdana" w:eastAsia="Arial Unicode MS" w:hAnsi="Verdana" w:cs="Arial Unicode MS"/>
          <w:color w:val="31849B" w:themeColor="accent5" w:themeShade="BF"/>
          <w:sz w:val="20"/>
          <w:szCs w:val="20"/>
          <w:lang w:val="en-GB"/>
        </w:rPr>
      </w:pPr>
      <w:r>
        <w:rPr>
          <w:rFonts w:ascii="Verdana" w:eastAsia="Arial Unicode MS" w:hAnsi="Verdana" w:cs="Arial Unicode MS"/>
          <w:color w:val="31849B" w:themeColor="accent5" w:themeShade="BF"/>
          <w:sz w:val="20"/>
          <w:szCs w:val="20"/>
          <w:lang w:val="en-GB"/>
        </w:rPr>
        <w:t>Please send us the proposal first electronically as *.docx.</w:t>
      </w:r>
    </w:p>
    <w:p w14:paraId="60544748" w14:textId="77777777" w:rsidR="00635AEF" w:rsidRDefault="00000000">
      <w:pPr>
        <w:rPr>
          <w:rFonts w:ascii="Verdana" w:eastAsia="Arial Unicode MS" w:hAnsi="Verdana" w:cs="Arial Unicode MS"/>
          <w:color w:val="31849B" w:themeColor="accent5" w:themeShade="BF"/>
          <w:sz w:val="20"/>
          <w:szCs w:val="20"/>
          <w:lang w:val="en-GB"/>
        </w:rPr>
      </w:pPr>
      <w:r>
        <w:rPr>
          <w:rFonts w:ascii="Verdana" w:eastAsia="Arial Unicode MS" w:hAnsi="Verdana" w:cs="Arial Unicode MS"/>
          <w:color w:val="31849B" w:themeColor="accent5" w:themeShade="BF"/>
          <w:sz w:val="20"/>
          <w:szCs w:val="20"/>
          <w:lang w:val="en-GB"/>
        </w:rPr>
        <w:t>After we mutually agree, please sign the proposal and send the scan via e-mail.</w:t>
      </w:r>
    </w:p>
    <w:p w14:paraId="1C3F8062" w14:textId="77777777" w:rsidR="00635AEF" w:rsidRDefault="00635AEF">
      <w:pPr>
        <w:rPr>
          <w:rFonts w:ascii="Verdana" w:eastAsia="Arial Unicode MS" w:hAnsi="Verdana" w:cs="Arial Unicode MS"/>
          <w:color w:val="31849B" w:themeColor="accent5" w:themeShade="BF"/>
          <w:sz w:val="20"/>
          <w:szCs w:val="20"/>
          <w:lang w:val="en-GB"/>
        </w:rPr>
      </w:pPr>
    </w:p>
    <w:p w14:paraId="4B2CE04E" w14:textId="77777777" w:rsidR="00635AEF" w:rsidRDefault="00000000">
      <w:pPr>
        <w:rPr>
          <w:rFonts w:ascii="Verdana" w:eastAsia="Arial Unicode MS" w:hAnsi="Verdana" w:cs="Arial Unicode MS"/>
          <w:color w:val="31849B" w:themeColor="accent5" w:themeShade="BF"/>
          <w:sz w:val="20"/>
          <w:szCs w:val="20"/>
          <w:lang w:val="en-GB"/>
        </w:rPr>
      </w:pPr>
      <w:r>
        <w:rPr>
          <w:rFonts w:ascii="Verdana" w:eastAsia="Arial Unicode MS" w:hAnsi="Verdana" w:cs="Arial Unicode MS"/>
          <w:color w:val="31849B" w:themeColor="accent5" w:themeShade="BF"/>
          <w:sz w:val="20"/>
          <w:szCs w:val="20"/>
          <w:lang w:val="en-GB"/>
        </w:rPr>
        <w:t>We only measure samples after mutual agreement of feasibility and scientific reason.</w:t>
      </w:r>
    </w:p>
    <w:p w14:paraId="13A5ECBA" w14:textId="77777777" w:rsidR="00635AEF" w:rsidRDefault="00635AEF">
      <w:pPr>
        <w:rPr>
          <w:rFonts w:ascii="Verdana" w:hAnsi="Verdana"/>
          <w:b/>
          <w:color w:val="FF0000"/>
          <w:sz w:val="16"/>
          <w:szCs w:val="16"/>
          <w:lang w:val="en-GB"/>
        </w:rPr>
      </w:pPr>
    </w:p>
    <w:p w14:paraId="5F774D9F" w14:textId="77777777" w:rsidR="00635AEF" w:rsidRDefault="00635AEF">
      <w:pPr>
        <w:rPr>
          <w:rFonts w:ascii="Verdana" w:hAnsi="Verdana"/>
          <w:b/>
          <w:color w:val="FF0000"/>
          <w:sz w:val="16"/>
          <w:szCs w:val="16"/>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rsidRPr="00C3192C" w14:paraId="66979D5F" w14:textId="77777777">
        <w:trPr>
          <w:trHeight w:val="340"/>
        </w:trPr>
        <w:tc>
          <w:tcPr>
            <w:tcW w:w="9180" w:type="dxa"/>
            <w:shd w:val="clear" w:color="auto" w:fill="B6DDE8" w:themeFill="accent5" w:themeFillTint="66"/>
          </w:tcPr>
          <w:p w14:paraId="7EE9B37C" w14:textId="77777777" w:rsidR="00635AEF" w:rsidRDefault="00000000">
            <w:pPr>
              <w:pStyle w:val="Style1"/>
              <w:tabs>
                <w:tab w:val="right" w:pos="9040"/>
              </w:tabs>
              <w:rPr>
                <w:sz w:val="20"/>
                <w:szCs w:val="20"/>
              </w:rPr>
            </w:pPr>
            <w:r>
              <w:rPr>
                <w:sz w:val="20"/>
                <w:szCs w:val="20"/>
              </w:rPr>
              <w:t xml:space="preserve">Project Title </w:t>
            </w:r>
            <w:r>
              <w:rPr>
                <w:b w:val="0"/>
                <w:sz w:val="20"/>
                <w:szCs w:val="20"/>
              </w:rPr>
              <w:t>(please give a brief, yet informative title)</w:t>
            </w:r>
            <w:r>
              <w:rPr>
                <w:sz w:val="20"/>
                <w:szCs w:val="20"/>
              </w:rPr>
              <w:tab/>
            </w:r>
          </w:p>
        </w:tc>
      </w:tr>
      <w:tr w:rsidR="00635AEF" w:rsidRPr="00C3192C" w14:paraId="1B1F6F3A" w14:textId="77777777">
        <w:trPr>
          <w:trHeight w:val="668"/>
        </w:trPr>
        <w:tc>
          <w:tcPr>
            <w:tcW w:w="9180" w:type="dxa"/>
            <w:tcBorders>
              <w:bottom w:val="single" w:sz="4" w:space="0" w:color="auto"/>
            </w:tcBorders>
          </w:tcPr>
          <w:p w14:paraId="617D3321" w14:textId="77777777" w:rsidR="00635AEF" w:rsidRDefault="00635AEF">
            <w:pPr>
              <w:pStyle w:val="Style2"/>
            </w:pPr>
          </w:p>
        </w:tc>
      </w:tr>
    </w:tbl>
    <w:p w14:paraId="1FFACFAD" w14:textId="77777777" w:rsidR="00635AEF" w:rsidRDefault="00635AEF">
      <w:pPr>
        <w:rPr>
          <w:rFonts w:ascii="Verdana" w:hAnsi="Verdana"/>
          <w:b/>
          <w:color w:val="FF0000"/>
          <w:sz w:val="16"/>
          <w:szCs w:val="16"/>
          <w:lang w:val="en-GB"/>
        </w:rPr>
      </w:pPr>
    </w:p>
    <w:p w14:paraId="73FDDDE3" w14:textId="77777777" w:rsidR="00635AEF" w:rsidRDefault="00635AEF">
      <w:pPr>
        <w:rPr>
          <w:rFonts w:ascii="Verdana" w:hAnsi="Verdana"/>
          <w:b/>
          <w:color w:val="FF0000"/>
          <w:sz w:val="16"/>
          <w:szCs w:val="16"/>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340"/>
        <w:gridCol w:w="3420"/>
      </w:tblGrid>
      <w:tr w:rsidR="00635AEF" w14:paraId="6354233F" w14:textId="77777777">
        <w:trPr>
          <w:trHeight w:val="340"/>
        </w:trPr>
        <w:tc>
          <w:tcPr>
            <w:tcW w:w="3420" w:type="dxa"/>
            <w:tcBorders>
              <w:right w:val="single" w:sz="4" w:space="0" w:color="auto"/>
            </w:tcBorders>
            <w:shd w:val="clear" w:color="auto" w:fill="B6DDE8" w:themeFill="accent5" w:themeFillTint="66"/>
          </w:tcPr>
          <w:p w14:paraId="6D363696" w14:textId="77777777" w:rsidR="00635AEF" w:rsidRDefault="00000000">
            <w:pPr>
              <w:pStyle w:val="Style1"/>
              <w:tabs>
                <w:tab w:val="right" w:pos="3280"/>
              </w:tabs>
              <w:rPr>
                <w:sz w:val="20"/>
                <w:szCs w:val="20"/>
              </w:rPr>
            </w:pPr>
            <w:r>
              <w:rPr>
                <w:sz w:val="20"/>
                <w:szCs w:val="20"/>
              </w:rPr>
              <w:t xml:space="preserve">Acronym </w:t>
            </w:r>
            <w:r>
              <w:rPr>
                <w:b w:val="0"/>
                <w:sz w:val="20"/>
                <w:szCs w:val="20"/>
              </w:rPr>
              <w:t>(starts with O-)</w:t>
            </w:r>
            <w:r>
              <w:rPr>
                <w:sz w:val="20"/>
                <w:szCs w:val="20"/>
              </w:rPr>
              <w:tab/>
            </w:r>
          </w:p>
        </w:tc>
        <w:tc>
          <w:tcPr>
            <w:tcW w:w="2340" w:type="dxa"/>
            <w:tcBorders>
              <w:top w:val="nil"/>
              <w:left w:val="single" w:sz="4" w:space="0" w:color="auto"/>
              <w:bottom w:val="nil"/>
              <w:right w:val="single" w:sz="4" w:space="0" w:color="auto"/>
            </w:tcBorders>
          </w:tcPr>
          <w:p w14:paraId="53D912B3" w14:textId="77777777" w:rsidR="00635AEF" w:rsidRDefault="00635AEF">
            <w:pPr>
              <w:pStyle w:val="Style1"/>
              <w:rPr>
                <w:sz w:val="20"/>
                <w:szCs w:val="20"/>
              </w:rPr>
            </w:pPr>
          </w:p>
        </w:tc>
        <w:tc>
          <w:tcPr>
            <w:tcW w:w="3420" w:type="dxa"/>
            <w:tcBorders>
              <w:left w:val="single" w:sz="4" w:space="0" w:color="auto"/>
            </w:tcBorders>
            <w:shd w:val="clear" w:color="auto" w:fill="B6DDE8" w:themeFill="accent5" w:themeFillTint="66"/>
          </w:tcPr>
          <w:p w14:paraId="49AF40C2" w14:textId="77777777" w:rsidR="00635AEF" w:rsidRDefault="00000000">
            <w:pPr>
              <w:pStyle w:val="Style1"/>
              <w:rPr>
                <w:sz w:val="20"/>
                <w:szCs w:val="20"/>
              </w:rPr>
            </w:pPr>
            <w:r>
              <w:rPr>
                <w:sz w:val="20"/>
                <w:szCs w:val="20"/>
              </w:rPr>
              <w:t>Start date</w:t>
            </w:r>
          </w:p>
        </w:tc>
      </w:tr>
      <w:tr w:rsidR="00635AEF" w14:paraId="3E7B4841" w14:textId="77777777">
        <w:trPr>
          <w:trHeight w:val="409"/>
        </w:trPr>
        <w:tc>
          <w:tcPr>
            <w:tcW w:w="3420" w:type="dxa"/>
            <w:tcBorders>
              <w:bottom w:val="single" w:sz="4" w:space="0" w:color="auto"/>
              <w:right w:val="single" w:sz="4" w:space="0" w:color="auto"/>
            </w:tcBorders>
          </w:tcPr>
          <w:p w14:paraId="2DD920BF" w14:textId="77777777" w:rsidR="00635AEF" w:rsidRDefault="00000000">
            <w:pPr>
              <w:pStyle w:val="Style2"/>
            </w:pPr>
            <w:r>
              <w:t>O-</w:t>
            </w:r>
          </w:p>
        </w:tc>
        <w:tc>
          <w:tcPr>
            <w:tcW w:w="2340" w:type="dxa"/>
            <w:tcBorders>
              <w:top w:val="nil"/>
              <w:left w:val="single" w:sz="4" w:space="0" w:color="auto"/>
              <w:bottom w:val="nil"/>
              <w:right w:val="single" w:sz="4" w:space="0" w:color="auto"/>
            </w:tcBorders>
          </w:tcPr>
          <w:p w14:paraId="7DCA18B3" w14:textId="77777777" w:rsidR="00635AEF" w:rsidRDefault="00635AEF">
            <w:pPr>
              <w:pStyle w:val="Style2"/>
              <w:rPr>
                <w:sz w:val="22"/>
                <w:szCs w:val="22"/>
              </w:rPr>
            </w:pPr>
          </w:p>
        </w:tc>
        <w:tc>
          <w:tcPr>
            <w:tcW w:w="3420" w:type="dxa"/>
            <w:tcBorders>
              <w:left w:val="single" w:sz="4" w:space="0" w:color="auto"/>
            </w:tcBorders>
          </w:tcPr>
          <w:p w14:paraId="4D2278A6" w14:textId="77777777" w:rsidR="00635AEF" w:rsidRDefault="00635AEF">
            <w:pPr>
              <w:pStyle w:val="Style2"/>
            </w:pPr>
          </w:p>
        </w:tc>
      </w:tr>
    </w:tbl>
    <w:p w14:paraId="1A8FB830" w14:textId="77777777" w:rsidR="00635AEF" w:rsidRDefault="00635AEF">
      <w:pPr>
        <w:rPr>
          <w:rFonts w:ascii="Verdana" w:hAnsi="Verdana"/>
          <w:b/>
          <w:color w:val="FF0000"/>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14:paraId="25403533" w14:textId="77777777">
        <w:trPr>
          <w:trHeight w:val="322"/>
        </w:trPr>
        <w:tc>
          <w:tcPr>
            <w:tcW w:w="9180" w:type="dxa"/>
            <w:shd w:val="clear" w:color="auto" w:fill="B6DDE8" w:themeFill="accent5" w:themeFillTint="66"/>
          </w:tcPr>
          <w:p w14:paraId="1699C35C" w14:textId="77777777" w:rsidR="00635AEF" w:rsidRDefault="00000000">
            <w:pPr>
              <w:pStyle w:val="Style1"/>
              <w:rPr>
                <w:sz w:val="20"/>
                <w:szCs w:val="20"/>
              </w:rPr>
            </w:pPr>
            <w:r>
              <w:rPr>
                <w:sz w:val="20"/>
                <w:szCs w:val="20"/>
              </w:rPr>
              <w:t xml:space="preserve">Principle Investigator PROVIDER (of material to be analyzed) - </w:t>
            </w:r>
          </w:p>
          <w:p w14:paraId="23E8638F" w14:textId="77777777" w:rsidR="00635AEF" w:rsidRDefault="00000000">
            <w:pPr>
              <w:pStyle w:val="Style1"/>
              <w:rPr>
                <w:rStyle w:val="Style1Char"/>
                <w:rFonts w:ascii="Arial" w:hAnsi="Arial"/>
                <w:sz w:val="20"/>
                <w:szCs w:val="20"/>
              </w:rPr>
            </w:pPr>
            <w:r>
              <w:rPr>
                <w:sz w:val="20"/>
                <w:szCs w:val="20"/>
              </w:rPr>
              <w:t>(Institute, address, email, telephone)</w:t>
            </w:r>
          </w:p>
        </w:tc>
      </w:tr>
      <w:tr w:rsidR="00635AEF" w14:paraId="2B220979" w14:textId="77777777">
        <w:trPr>
          <w:trHeight w:val="427"/>
        </w:trPr>
        <w:tc>
          <w:tcPr>
            <w:tcW w:w="9180" w:type="dxa"/>
          </w:tcPr>
          <w:p w14:paraId="2B45AD9C" w14:textId="77777777" w:rsidR="00635AEF" w:rsidRDefault="00635AEF">
            <w:pPr>
              <w:pStyle w:val="Style2"/>
            </w:pPr>
          </w:p>
        </w:tc>
      </w:tr>
    </w:tbl>
    <w:p w14:paraId="53D22B97" w14:textId="77777777" w:rsidR="00635AEF" w:rsidRDefault="00635AEF">
      <w:pPr>
        <w:rPr>
          <w:rFonts w:ascii="Verdana" w:hAnsi="Verdana"/>
          <w:b/>
          <w:color w:val="FF0000"/>
          <w:sz w:val="16"/>
          <w:szCs w:val="16"/>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rsidRPr="00C3192C" w14:paraId="4C1CF9FD" w14:textId="77777777">
        <w:trPr>
          <w:trHeight w:val="322"/>
        </w:trPr>
        <w:tc>
          <w:tcPr>
            <w:tcW w:w="9180" w:type="dxa"/>
            <w:shd w:val="clear" w:color="auto" w:fill="B6DDE8" w:themeFill="accent5" w:themeFillTint="66"/>
          </w:tcPr>
          <w:p w14:paraId="40DF2861" w14:textId="77777777" w:rsidR="00635AEF" w:rsidRDefault="00000000">
            <w:pPr>
              <w:pStyle w:val="Style1"/>
              <w:rPr>
                <w:rStyle w:val="Style1Char"/>
                <w:rFonts w:ascii="Arial" w:hAnsi="Arial"/>
                <w:sz w:val="20"/>
                <w:szCs w:val="20"/>
              </w:rPr>
            </w:pPr>
            <w:r>
              <w:rPr>
                <w:sz w:val="20"/>
                <w:szCs w:val="20"/>
              </w:rPr>
              <w:t xml:space="preserve">Involved people/institutes/planned authorships </w:t>
            </w:r>
            <w:r>
              <w:rPr>
                <w:sz w:val="16"/>
                <w:szCs w:val="16"/>
              </w:rPr>
              <w:t>(according to Regulations for Good Scientific Practice, https://wissenschaftliche-integritaet.de/kodex/autorschaft/)</w:t>
            </w:r>
          </w:p>
        </w:tc>
      </w:tr>
      <w:tr w:rsidR="00635AEF" w:rsidRPr="00C3192C" w14:paraId="72BF33D1" w14:textId="77777777">
        <w:trPr>
          <w:trHeight w:val="436"/>
        </w:trPr>
        <w:tc>
          <w:tcPr>
            <w:tcW w:w="9180" w:type="dxa"/>
          </w:tcPr>
          <w:p w14:paraId="0EAF3634" w14:textId="77777777" w:rsidR="00635AEF" w:rsidRDefault="00635AEF">
            <w:pPr>
              <w:pStyle w:val="Style2"/>
            </w:pPr>
          </w:p>
        </w:tc>
      </w:tr>
    </w:tbl>
    <w:p w14:paraId="2C33CB58" w14:textId="77777777" w:rsidR="00635AEF" w:rsidRDefault="00635AEF">
      <w:pPr>
        <w:rPr>
          <w:rFonts w:ascii="Verdana" w:hAnsi="Verdana"/>
          <w:b/>
          <w:color w:val="FF0000"/>
          <w:sz w:val="16"/>
          <w:szCs w:val="16"/>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rsidRPr="00C3192C" w14:paraId="33DD28C6" w14:textId="77777777">
        <w:trPr>
          <w:trHeight w:val="462"/>
        </w:trPr>
        <w:tc>
          <w:tcPr>
            <w:tcW w:w="9180" w:type="dxa"/>
            <w:shd w:val="clear" w:color="auto" w:fill="B6DDE8" w:themeFill="accent5" w:themeFillTint="66"/>
          </w:tcPr>
          <w:p w14:paraId="5A0CB088" w14:textId="77777777" w:rsidR="00635AEF" w:rsidRDefault="00000000">
            <w:pPr>
              <w:pStyle w:val="Style1"/>
              <w:rPr>
                <w:sz w:val="20"/>
                <w:szCs w:val="20"/>
              </w:rPr>
            </w:pPr>
            <w:r>
              <w:rPr>
                <w:sz w:val="20"/>
                <w:szCs w:val="20"/>
              </w:rPr>
              <w:t xml:space="preserve">HMGU PSP-Element and POF topic </w:t>
            </w:r>
            <w:r>
              <w:rPr>
                <w:b w:val="0"/>
                <w:sz w:val="20"/>
                <w:szCs w:val="20"/>
              </w:rPr>
              <w:t>(only internal)</w:t>
            </w:r>
          </w:p>
        </w:tc>
      </w:tr>
      <w:tr w:rsidR="00635AEF" w:rsidRPr="00C3192C" w14:paraId="1F565DF3" w14:textId="77777777">
        <w:trPr>
          <w:trHeight w:val="454"/>
        </w:trPr>
        <w:tc>
          <w:tcPr>
            <w:tcW w:w="9180" w:type="dxa"/>
          </w:tcPr>
          <w:p w14:paraId="467205D4" w14:textId="77777777" w:rsidR="00635AEF" w:rsidRDefault="00635AEF">
            <w:pPr>
              <w:pStyle w:val="Style2"/>
            </w:pPr>
          </w:p>
        </w:tc>
      </w:tr>
    </w:tbl>
    <w:p w14:paraId="4F5EF524" w14:textId="77777777" w:rsidR="00635AEF" w:rsidRDefault="00635AEF">
      <w:pPr>
        <w:pStyle w:val="Style1"/>
        <w:rPr>
          <w:sz w:val="20"/>
          <w:szCs w:val="20"/>
        </w:rPr>
      </w:pPr>
    </w:p>
    <w:tbl>
      <w:tblPr>
        <w:tblStyle w:val="TableGrid"/>
        <w:tblW w:w="9223" w:type="dxa"/>
        <w:tblInd w:w="85" w:type="dxa"/>
        <w:tblLook w:val="04A0" w:firstRow="1" w:lastRow="0" w:firstColumn="1" w:lastColumn="0" w:noHBand="0" w:noVBand="1"/>
      </w:tblPr>
      <w:tblGrid>
        <w:gridCol w:w="9223"/>
      </w:tblGrid>
      <w:tr w:rsidR="00635AEF" w:rsidRPr="00C3192C" w14:paraId="5B82A26A" w14:textId="77777777">
        <w:trPr>
          <w:trHeight w:val="391"/>
        </w:trPr>
        <w:tc>
          <w:tcPr>
            <w:tcW w:w="9223" w:type="dxa"/>
            <w:shd w:val="clear" w:color="auto" w:fill="B6DDE8" w:themeFill="accent5" w:themeFillTint="66"/>
            <w:vAlign w:val="center"/>
          </w:tcPr>
          <w:p w14:paraId="08EF32F5" w14:textId="77777777" w:rsidR="00635AEF" w:rsidRDefault="00000000">
            <w:pPr>
              <w:rPr>
                <w:rFonts w:ascii="Verdana" w:hAnsi="Verdana"/>
                <w:b/>
                <w:sz w:val="20"/>
                <w:szCs w:val="20"/>
              </w:rPr>
            </w:pPr>
            <w:r>
              <w:rPr>
                <w:rFonts w:ascii="Verdana" w:hAnsi="Verdana"/>
                <w:b/>
                <w:sz w:val="20"/>
                <w:szCs w:val="20"/>
              </w:rPr>
              <w:t xml:space="preserve">Billing Address and VAT-ID </w:t>
            </w:r>
            <w:r>
              <w:rPr>
                <w:rFonts w:ascii="Verdana" w:hAnsi="Verdana"/>
                <w:sz w:val="20"/>
                <w:szCs w:val="20"/>
              </w:rPr>
              <w:t>(only external)</w:t>
            </w:r>
          </w:p>
        </w:tc>
      </w:tr>
      <w:tr w:rsidR="00635AEF" w:rsidRPr="00C3192C" w14:paraId="64E7E01C" w14:textId="77777777">
        <w:trPr>
          <w:trHeight w:val="379"/>
        </w:trPr>
        <w:tc>
          <w:tcPr>
            <w:tcW w:w="9223" w:type="dxa"/>
            <w:tcMar>
              <w:top w:w="113" w:type="dxa"/>
            </w:tcMar>
          </w:tcPr>
          <w:p w14:paraId="3D9DAC4D" w14:textId="77777777" w:rsidR="00635AEF" w:rsidRDefault="00635AEF">
            <w:pPr>
              <w:rPr>
                <w:rFonts w:ascii="Verdana" w:hAnsi="Verdana"/>
                <w:sz w:val="20"/>
                <w:szCs w:val="20"/>
              </w:rPr>
            </w:pPr>
          </w:p>
        </w:tc>
      </w:tr>
    </w:tbl>
    <w:p w14:paraId="2E8D7FB8" w14:textId="77777777" w:rsidR="00635AEF" w:rsidRDefault="00635AEF">
      <w:pPr>
        <w:pStyle w:val="Style1"/>
        <w:rPr>
          <w:sz w:val="20"/>
          <w:szCs w:val="20"/>
          <w:lang w:val="en-U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35AEF" w:rsidRPr="00C3192C" w14:paraId="3B305B79" w14:textId="77777777">
        <w:trPr>
          <w:trHeight w:val="481"/>
        </w:trPr>
        <w:tc>
          <w:tcPr>
            <w:tcW w:w="9214" w:type="dxa"/>
            <w:shd w:val="clear" w:color="auto" w:fill="B6DDE8" w:themeFill="accent5" w:themeFillTint="66"/>
          </w:tcPr>
          <w:p w14:paraId="05697EC1" w14:textId="77777777" w:rsidR="00635AEF" w:rsidRDefault="00000000">
            <w:pPr>
              <w:pStyle w:val="Style1"/>
              <w:rPr>
                <w:sz w:val="20"/>
                <w:szCs w:val="20"/>
              </w:rPr>
            </w:pPr>
            <w:r>
              <w:rPr>
                <w:sz w:val="20"/>
                <w:szCs w:val="20"/>
              </w:rPr>
              <w:t>Project summary: a short description of the project, including aims and benefits</w:t>
            </w:r>
          </w:p>
        </w:tc>
      </w:tr>
      <w:tr w:rsidR="00635AEF" w:rsidRPr="00C3192C" w14:paraId="215BF432" w14:textId="77777777">
        <w:trPr>
          <w:trHeight w:val="3046"/>
        </w:trPr>
        <w:tc>
          <w:tcPr>
            <w:tcW w:w="9214" w:type="dxa"/>
          </w:tcPr>
          <w:p w14:paraId="493214FC" w14:textId="77777777" w:rsidR="00635AEF" w:rsidRDefault="00635AEF">
            <w:pPr>
              <w:pStyle w:val="Style2"/>
              <w:rPr>
                <w:lang w:val="en-US"/>
              </w:rPr>
            </w:pPr>
          </w:p>
        </w:tc>
      </w:tr>
    </w:tbl>
    <w:p w14:paraId="5FB3E42D" w14:textId="77777777" w:rsidR="00635AEF" w:rsidRDefault="00635AEF">
      <w:pPr>
        <w:rPr>
          <w:sz w:val="20"/>
          <w:szCs w:val="20"/>
          <w:lang w:val="en-US"/>
        </w:rPr>
      </w:pPr>
    </w:p>
    <w:p w14:paraId="13456D2A" w14:textId="77777777" w:rsidR="00635AEF" w:rsidRDefault="00635AEF">
      <w:pPr>
        <w:rPr>
          <w:sz w:val="20"/>
          <w:szCs w:val="20"/>
          <w:lang w:val="en-GB"/>
        </w:rPr>
      </w:pPr>
    </w:p>
    <w:p w14:paraId="69799D6D" w14:textId="77777777" w:rsidR="00635AEF" w:rsidRDefault="00635AEF">
      <w:pPr>
        <w:rPr>
          <w:sz w:val="20"/>
          <w:szCs w:val="20"/>
          <w:lang w:val="en-GB"/>
        </w:rPr>
      </w:pPr>
    </w:p>
    <w:p w14:paraId="79994F23" w14:textId="77777777" w:rsidR="00635AEF" w:rsidRDefault="00635AEF">
      <w:pPr>
        <w:rPr>
          <w:sz w:val="20"/>
          <w:szCs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35AEF" w14:paraId="3EB3E1C2" w14:textId="77777777">
        <w:trPr>
          <w:trHeight w:val="480"/>
        </w:trPr>
        <w:tc>
          <w:tcPr>
            <w:tcW w:w="9214" w:type="dxa"/>
            <w:shd w:val="clear" w:color="auto" w:fill="B6DDE8" w:themeFill="accent5" w:themeFillTint="66"/>
          </w:tcPr>
          <w:p w14:paraId="097DEB2D" w14:textId="77777777" w:rsidR="00635AEF" w:rsidRDefault="00000000">
            <w:pPr>
              <w:pStyle w:val="Style1"/>
              <w:rPr>
                <w:sz w:val="20"/>
                <w:szCs w:val="20"/>
              </w:rPr>
            </w:pPr>
            <w:r>
              <w:rPr>
                <w:sz w:val="20"/>
                <w:szCs w:val="20"/>
              </w:rPr>
              <w:t>Study design:</w:t>
            </w:r>
          </w:p>
        </w:tc>
      </w:tr>
      <w:tr w:rsidR="00635AEF" w:rsidRPr="00C3192C" w14:paraId="4A15D3C4" w14:textId="77777777">
        <w:trPr>
          <w:trHeight w:val="1741"/>
        </w:trPr>
        <w:tc>
          <w:tcPr>
            <w:tcW w:w="9214" w:type="dxa"/>
          </w:tcPr>
          <w:p w14:paraId="15E8A319" w14:textId="77777777" w:rsidR="00635AEF" w:rsidRDefault="00635AEF">
            <w:pPr>
              <w:pStyle w:val="Style2"/>
            </w:pPr>
          </w:p>
          <w:p w14:paraId="18C5C4D6" w14:textId="77777777" w:rsidR="00635AEF" w:rsidRDefault="00000000">
            <w:pPr>
              <w:pStyle w:val="Style2"/>
            </w:pPr>
            <w:r>
              <w:rPr>
                <w:noProof/>
                <w:lang w:val="en-US" w:eastAsia="en-US"/>
              </w:rPr>
              <w:drawing>
                <wp:inline distT="0" distB="0" distL="0" distR="0" wp14:anchorId="315073FC" wp14:editId="767E5A7E">
                  <wp:extent cx="5714037" cy="2470785"/>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187"/>
                          <a:stretch/>
                        </pic:blipFill>
                        <pic:spPr bwMode="auto">
                          <a:xfrm>
                            <a:off x="0" y="0"/>
                            <a:ext cx="5759610" cy="2490491"/>
                          </a:xfrm>
                          <a:prstGeom prst="rect">
                            <a:avLst/>
                          </a:prstGeom>
                          <a:noFill/>
                          <a:ln>
                            <a:noFill/>
                          </a:ln>
                          <a:extLst>
                            <a:ext uri="{53640926-AAD7-44D8-BBD7-CCE9431645EC}">
                              <a14:shadowObscured xmlns:a14="http://schemas.microsoft.com/office/drawing/2010/main"/>
                            </a:ext>
                          </a:extLst>
                        </pic:spPr>
                      </pic:pic>
                    </a:graphicData>
                  </a:graphic>
                </wp:inline>
              </w:drawing>
            </w:r>
          </w:p>
          <w:p w14:paraId="761CF58B" w14:textId="77777777" w:rsidR="00635AEF" w:rsidRDefault="00635AEF">
            <w:pPr>
              <w:pStyle w:val="Style2"/>
            </w:pPr>
          </w:p>
          <w:p w14:paraId="5004D15A" w14:textId="77777777" w:rsidR="00635AEF" w:rsidRDefault="00000000">
            <w:pPr>
              <w:pStyle w:val="Style2"/>
            </w:pPr>
            <w:r>
              <w:rPr>
                <w:i/>
              </w:rPr>
              <w:t xml:space="preserve">• </w:t>
            </w:r>
            <w:r>
              <w:t>Which study design scenario better suits your project:</w:t>
            </w:r>
          </w:p>
          <w:p w14:paraId="63E04D46" w14:textId="77777777" w:rsidR="00635AEF" w:rsidRDefault="00635AEF">
            <w:pPr>
              <w:pStyle w:val="Style2"/>
            </w:pPr>
          </w:p>
          <w:p w14:paraId="2F015FA1" w14:textId="77777777" w:rsidR="00635AEF" w:rsidRDefault="00000000">
            <w:pPr>
              <w:pStyle w:val="Style2"/>
            </w:pPr>
            <w:r>
              <w:t>• What is the study objective:</w:t>
            </w:r>
          </w:p>
          <w:p w14:paraId="62BE7E3A" w14:textId="77777777" w:rsidR="00635AEF" w:rsidRDefault="00635AEF">
            <w:pPr>
              <w:pStyle w:val="Style2"/>
            </w:pPr>
          </w:p>
          <w:p w14:paraId="40FD4FA3" w14:textId="77777777" w:rsidR="00635AEF" w:rsidRDefault="00000000">
            <w:pPr>
              <w:pStyle w:val="Style2"/>
            </w:pPr>
            <w:r>
              <w:t xml:space="preserve">• What are the study groups and how many samples are in each group: </w:t>
            </w:r>
          </w:p>
          <w:p w14:paraId="50E4EE84" w14:textId="77777777" w:rsidR="00635AEF" w:rsidRDefault="00635AEF">
            <w:pPr>
              <w:pStyle w:val="Style2"/>
            </w:pPr>
          </w:p>
          <w:p w14:paraId="799F10AC" w14:textId="77777777" w:rsidR="00635AEF" w:rsidRDefault="00000000">
            <w:pPr>
              <w:pStyle w:val="Style2"/>
            </w:pPr>
            <w:r>
              <w:t xml:space="preserve">• What is the sample type (EDTA plasma, heparin plasma, serum, cell, or tissue lysate. Note: </w:t>
            </w:r>
            <w:r>
              <w:rPr>
                <w:u w:val="single"/>
              </w:rPr>
              <w:t>different sample matrices cannot be compared!</w:t>
            </w:r>
            <w:r>
              <w:t xml:space="preserve">): </w:t>
            </w:r>
          </w:p>
          <w:p w14:paraId="664F84B4" w14:textId="77777777" w:rsidR="00635AEF" w:rsidRDefault="00635AEF">
            <w:pPr>
              <w:pStyle w:val="Style2"/>
            </w:pPr>
          </w:p>
          <w:p w14:paraId="13A2CEBA" w14:textId="77777777" w:rsidR="00635AEF" w:rsidRDefault="00635AEF">
            <w:pPr>
              <w:pStyle w:val="Style2"/>
            </w:pPr>
          </w:p>
          <w:p w14:paraId="67E1672C" w14:textId="77777777" w:rsidR="00635AEF" w:rsidRDefault="00000000">
            <w:pPr>
              <w:pStyle w:val="Style2"/>
              <w:rPr>
                <w:i/>
              </w:rPr>
            </w:pPr>
            <w:r>
              <w:t xml:space="preserve">• What are the pre-analytical variations (specify which </w:t>
            </w:r>
            <w:r>
              <w:rPr>
                <w:u w:val="single"/>
              </w:rPr>
              <w:t>variables</w:t>
            </w:r>
            <w:r>
              <w:t xml:space="preserve"> are present in your samples such as gender, age, collection site, collection tube, state of disease, sample matrix, longitudinal time points, sample storage time, and freeze-thaws):</w:t>
            </w:r>
          </w:p>
          <w:p w14:paraId="4D3FE644" w14:textId="77777777" w:rsidR="00635AEF" w:rsidRDefault="00635AEF">
            <w:pPr>
              <w:pStyle w:val="Style2"/>
            </w:pPr>
          </w:p>
          <w:p w14:paraId="27718C08" w14:textId="77777777" w:rsidR="00635AEF" w:rsidRDefault="00635AEF">
            <w:pPr>
              <w:pStyle w:val="Style2"/>
            </w:pPr>
          </w:p>
        </w:tc>
      </w:tr>
    </w:tbl>
    <w:p w14:paraId="4269DD45" w14:textId="77777777" w:rsidR="00635AEF" w:rsidRDefault="00635AEF">
      <w:pPr>
        <w:rPr>
          <w:sz w:val="20"/>
          <w:szCs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2359"/>
        <w:gridCol w:w="2179"/>
      </w:tblGrid>
      <w:tr w:rsidR="00635AEF" w14:paraId="0B898407" w14:textId="77777777">
        <w:trPr>
          <w:trHeight w:val="398"/>
        </w:trPr>
        <w:tc>
          <w:tcPr>
            <w:tcW w:w="4676" w:type="dxa"/>
            <w:shd w:val="clear" w:color="auto" w:fill="B6DDE8" w:themeFill="accent5" w:themeFillTint="66"/>
          </w:tcPr>
          <w:p w14:paraId="725A7C73" w14:textId="77777777" w:rsidR="00635AEF" w:rsidRDefault="00000000">
            <w:pPr>
              <w:pStyle w:val="Style1"/>
              <w:rPr>
                <w:sz w:val="20"/>
                <w:szCs w:val="20"/>
              </w:rPr>
            </w:pPr>
            <w:r>
              <w:rPr>
                <w:sz w:val="20"/>
                <w:szCs w:val="20"/>
              </w:rPr>
              <w:t>Selected Olink Panel/s</w:t>
            </w:r>
          </w:p>
        </w:tc>
        <w:tc>
          <w:tcPr>
            <w:tcW w:w="2359" w:type="dxa"/>
            <w:shd w:val="clear" w:color="auto" w:fill="B6DDE8" w:themeFill="accent5" w:themeFillTint="66"/>
          </w:tcPr>
          <w:p w14:paraId="1465468F" w14:textId="77777777" w:rsidR="00635AEF" w:rsidRDefault="00000000">
            <w:pPr>
              <w:pStyle w:val="Style1"/>
              <w:rPr>
                <w:sz w:val="20"/>
                <w:szCs w:val="20"/>
              </w:rPr>
            </w:pPr>
            <w:r>
              <w:rPr>
                <w:sz w:val="20"/>
                <w:szCs w:val="20"/>
              </w:rPr>
              <w:t>Number of samples</w:t>
            </w:r>
          </w:p>
        </w:tc>
        <w:tc>
          <w:tcPr>
            <w:tcW w:w="2179" w:type="dxa"/>
            <w:shd w:val="clear" w:color="auto" w:fill="B6DDE8" w:themeFill="accent5" w:themeFillTint="66"/>
          </w:tcPr>
          <w:p w14:paraId="0C509C51" w14:textId="77777777" w:rsidR="00635AEF" w:rsidRDefault="00000000">
            <w:pPr>
              <w:pStyle w:val="Style1"/>
              <w:rPr>
                <w:sz w:val="20"/>
                <w:szCs w:val="20"/>
              </w:rPr>
            </w:pPr>
            <w:r>
              <w:rPr>
                <w:sz w:val="20"/>
                <w:szCs w:val="20"/>
              </w:rPr>
              <w:t>Number of plates</w:t>
            </w:r>
          </w:p>
        </w:tc>
      </w:tr>
      <w:tr w:rsidR="00635AEF" w14:paraId="3B0FBCD3" w14:textId="77777777">
        <w:trPr>
          <w:trHeight w:val="517"/>
        </w:trPr>
        <w:tc>
          <w:tcPr>
            <w:tcW w:w="4676" w:type="dxa"/>
          </w:tcPr>
          <w:p w14:paraId="359AC7A7" w14:textId="77777777" w:rsidR="00635AEF" w:rsidRDefault="00635AEF">
            <w:pPr>
              <w:pStyle w:val="Style2"/>
            </w:pPr>
          </w:p>
        </w:tc>
        <w:tc>
          <w:tcPr>
            <w:tcW w:w="2359" w:type="dxa"/>
          </w:tcPr>
          <w:p w14:paraId="0DEA139C" w14:textId="77777777" w:rsidR="00635AEF" w:rsidRDefault="00635AEF">
            <w:pPr>
              <w:pStyle w:val="Style2"/>
            </w:pPr>
          </w:p>
        </w:tc>
        <w:tc>
          <w:tcPr>
            <w:tcW w:w="2179" w:type="dxa"/>
          </w:tcPr>
          <w:p w14:paraId="67FEF527" w14:textId="77777777" w:rsidR="00635AEF" w:rsidRDefault="00635AEF">
            <w:pPr>
              <w:pStyle w:val="Style2"/>
            </w:pPr>
          </w:p>
        </w:tc>
      </w:tr>
    </w:tbl>
    <w:p w14:paraId="65CBB474" w14:textId="77777777" w:rsidR="00635AEF" w:rsidRDefault="00635AEF">
      <w:pPr>
        <w:rPr>
          <w:rFonts w:ascii="Verdana" w:hAnsi="Verdana"/>
          <w:b/>
          <w:color w:val="FF0000"/>
          <w:sz w:val="20"/>
          <w:szCs w:val="20"/>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rsidRPr="00C3192C" w14:paraId="14085534" w14:textId="77777777">
        <w:trPr>
          <w:trHeight w:val="294"/>
        </w:trPr>
        <w:tc>
          <w:tcPr>
            <w:tcW w:w="9180" w:type="dxa"/>
            <w:shd w:val="clear" w:color="auto" w:fill="B6DDE8" w:themeFill="accent5" w:themeFillTint="66"/>
          </w:tcPr>
          <w:p w14:paraId="52D6C31F" w14:textId="77777777" w:rsidR="00635AEF" w:rsidRDefault="00000000">
            <w:pPr>
              <w:pStyle w:val="Style1"/>
              <w:rPr>
                <w:sz w:val="20"/>
                <w:szCs w:val="20"/>
              </w:rPr>
            </w:pPr>
            <w:r>
              <w:rPr>
                <w:sz w:val="20"/>
                <w:szCs w:val="20"/>
              </w:rPr>
              <w:t>Risk assessment of samples: Have samples been tested for HIV, HBV, HCV, or other blood-borne diseases?</w:t>
            </w:r>
          </w:p>
        </w:tc>
      </w:tr>
      <w:tr w:rsidR="00635AEF" w14:paraId="457577AD" w14:textId="77777777">
        <w:trPr>
          <w:trHeight w:val="609"/>
        </w:trPr>
        <w:tc>
          <w:tcPr>
            <w:tcW w:w="9180" w:type="dxa"/>
          </w:tcPr>
          <w:p w14:paraId="1EB976AC" w14:textId="77777777" w:rsidR="00635AEF" w:rsidRDefault="00000000">
            <w:pPr>
              <w:pStyle w:val="Style2"/>
              <w:numPr>
                <w:ilvl w:val="0"/>
                <w:numId w:val="3"/>
              </w:numPr>
              <w:rPr>
                <w:lang w:val="en-US"/>
              </w:rPr>
            </w:pPr>
            <w:r>
              <w:rPr>
                <w:lang w:val="en-US"/>
              </w:rPr>
              <w:t>Yes        If ‘Yes’, please state if positive or negative</w:t>
            </w:r>
          </w:p>
          <w:p w14:paraId="4C0A6299" w14:textId="77777777" w:rsidR="00635AEF" w:rsidRDefault="00000000">
            <w:pPr>
              <w:pStyle w:val="Style2"/>
              <w:numPr>
                <w:ilvl w:val="0"/>
                <w:numId w:val="1"/>
              </w:numPr>
              <w:rPr>
                <w:lang w:val="en-US"/>
              </w:rPr>
            </w:pPr>
            <w:r>
              <w:rPr>
                <w:lang w:val="en-US"/>
              </w:rPr>
              <w:t xml:space="preserve">No         Comment: </w:t>
            </w:r>
          </w:p>
        </w:tc>
      </w:tr>
    </w:tbl>
    <w:p w14:paraId="467CF77F" w14:textId="77777777" w:rsidR="00635AEF" w:rsidRDefault="00635AEF">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14:paraId="15218EEF" w14:textId="77777777">
        <w:trPr>
          <w:trHeight w:val="454"/>
        </w:trPr>
        <w:tc>
          <w:tcPr>
            <w:tcW w:w="9180" w:type="dxa"/>
            <w:shd w:val="clear" w:color="auto" w:fill="B6DDE8" w:themeFill="accent5" w:themeFillTint="66"/>
          </w:tcPr>
          <w:p w14:paraId="432FA033" w14:textId="77777777" w:rsidR="00635AEF" w:rsidRDefault="00000000">
            <w:pPr>
              <w:pStyle w:val="Style1"/>
              <w:rPr>
                <w:sz w:val="20"/>
                <w:szCs w:val="20"/>
              </w:rPr>
            </w:pPr>
            <w:r>
              <w:rPr>
                <w:sz w:val="20"/>
                <w:szCs w:val="20"/>
              </w:rPr>
              <w:lastRenderedPageBreak/>
              <w:t>Human biospecimens ethical consent</w:t>
            </w:r>
          </w:p>
        </w:tc>
      </w:tr>
      <w:tr w:rsidR="00635AEF" w:rsidRPr="00C3192C" w14:paraId="4BA039AA" w14:textId="77777777">
        <w:trPr>
          <w:trHeight w:val="750"/>
        </w:trPr>
        <w:tc>
          <w:tcPr>
            <w:tcW w:w="9180" w:type="dxa"/>
          </w:tcPr>
          <w:p w14:paraId="43752876" w14:textId="77777777" w:rsidR="00635AEF" w:rsidRDefault="00000000">
            <w:pPr>
              <w:pStyle w:val="Style2"/>
            </w:pPr>
            <w:r>
              <w:t xml:space="preserve">Ethical approval number (if applicable): </w:t>
            </w:r>
          </w:p>
          <w:p w14:paraId="009E1535" w14:textId="77777777" w:rsidR="00635AEF" w:rsidRDefault="00000000">
            <w:pPr>
              <w:pStyle w:val="Style2"/>
              <w:rPr>
                <w:b/>
              </w:rPr>
            </w:pPr>
            <w:r>
              <w:t>Approving institutional review board or equivalent committee(s):</w:t>
            </w:r>
            <w:r>
              <w:rPr>
                <w:b/>
              </w:rPr>
              <w:t xml:space="preserve"> </w:t>
            </w:r>
          </w:p>
        </w:tc>
      </w:tr>
    </w:tbl>
    <w:p w14:paraId="5CD11D6D" w14:textId="77777777" w:rsidR="00635AEF" w:rsidRDefault="00635AEF">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rsidRPr="00C3192C" w14:paraId="32A30BD2" w14:textId="77777777">
        <w:trPr>
          <w:trHeight w:val="294"/>
        </w:trPr>
        <w:tc>
          <w:tcPr>
            <w:tcW w:w="9180" w:type="dxa"/>
            <w:shd w:val="clear" w:color="auto" w:fill="B6DDE8" w:themeFill="accent5" w:themeFillTint="66"/>
          </w:tcPr>
          <w:p w14:paraId="5D62CEC4" w14:textId="77777777" w:rsidR="00635AEF" w:rsidRDefault="00000000">
            <w:pPr>
              <w:pStyle w:val="Style1"/>
              <w:rPr>
                <w:sz w:val="20"/>
                <w:szCs w:val="20"/>
              </w:rPr>
            </w:pPr>
            <w:r>
              <w:rPr>
                <w:sz w:val="20"/>
                <w:szCs w:val="20"/>
              </w:rPr>
              <w:t>Plate Layout &amp; Randomization of samples</w:t>
            </w:r>
          </w:p>
        </w:tc>
      </w:tr>
      <w:tr w:rsidR="00635AEF" w14:paraId="645CD6CF" w14:textId="77777777">
        <w:trPr>
          <w:trHeight w:val="609"/>
        </w:trPr>
        <w:tc>
          <w:tcPr>
            <w:tcW w:w="9180" w:type="dxa"/>
          </w:tcPr>
          <w:p w14:paraId="3409503B" w14:textId="77777777" w:rsidR="00635AEF" w:rsidRDefault="00000000">
            <w:pPr>
              <w:pStyle w:val="Style2"/>
              <w:numPr>
                <w:ilvl w:val="0"/>
                <w:numId w:val="3"/>
              </w:numPr>
              <w:rPr>
                <w:lang w:val="en-US"/>
              </w:rPr>
            </w:pPr>
            <w:r>
              <w:rPr>
                <w:lang w:val="en-US"/>
              </w:rPr>
              <w:t>Randomized in plates (ready to use)</w:t>
            </w:r>
          </w:p>
          <w:p w14:paraId="6457B236" w14:textId="77777777" w:rsidR="00635AEF" w:rsidRDefault="00000000">
            <w:pPr>
              <w:pStyle w:val="Style2"/>
              <w:numPr>
                <w:ilvl w:val="0"/>
                <w:numId w:val="1"/>
              </w:numPr>
              <w:rPr>
                <w:lang w:val="en-US"/>
              </w:rPr>
            </w:pPr>
            <w:r>
              <w:rPr>
                <w:lang w:val="en-US"/>
              </w:rPr>
              <w:t>Randomized in tubes (ready to transfer to plates)</w:t>
            </w:r>
          </w:p>
          <w:p w14:paraId="135CA619" w14:textId="77777777" w:rsidR="00635AEF" w:rsidRDefault="00000000">
            <w:pPr>
              <w:pStyle w:val="Style2"/>
              <w:numPr>
                <w:ilvl w:val="0"/>
                <w:numId w:val="1"/>
              </w:numPr>
              <w:rPr>
                <w:lang w:val="en-US"/>
              </w:rPr>
            </w:pPr>
            <w:r>
              <w:rPr>
                <w:lang w:val="en-US"/>
              </w:rPr>
              <w:t xml:space="preserve">Other (please specify):  </w:t>
            </w:r>
          </w:p>
        </w:tc>
      </w:tr>
    </w:tbl>
    <w:p w14:paraId="58A9B936" w14:textId="77777777" w:rsidR="00635AEF" w:rsidRDefault="00635AEF">
      <w:pPr>
        <w:rPr>
          <w:lang w:val="en-GB"/>
        </w:rPr>
      </w:pPr>
    </w:p>
    <w:tbl>
      <w:tblPr>
        <w:tblStyle w:val="TableGrid"/>
        <w:tblW w:w="9351" w:type="dxa"/>
        <w:tblLook w:val="04A0" w:firstRow="1" w:lastRow="0" w:firstColumn="1" w:lastColumn="0" w:noHBand="0" w:noVBand="1"/>
      </w:tblPr>
      <w:tblGrid>
        <w:gridCol w:w="2689"/>
        <w:gridCol w:w="6662"/>
      </w:tblGrid>
      <w:tr w:rsidR="00635AEF" w:rsidRPr="00C3192C" w14:paraId="1378F3AF" w14:textId="77777777">
        <w:tc>
          <w:tcPr>
            <w:tcW w:w="2689" w:type="dxa"/>
            <w:shd w:val="clear" w:color="auto" w:fill="B6DDE8" w:themeFill="accent5" w:themeFillTint="66"/>
            <w:tcMar>
              <w:top w:w="113" w:type="dxa"/>
              <w:bottom w:w="113" w:type="dxa"/>
            </w:tcMar>
            <w:vAlign w:val="center"/>
          </w:tcPr>
          <w:p w14:paraId="023329AF" w14:textId="77777777" w:rsidR="00635AEF" w:rsidRDefault="00000000">
            <w:pPr>
              <w:rPr>
                <w:rFonts w:ascii="Verdana" w:hAnsi="Verdana"/>
                <w:b/>
                <w:sz w:val="20"/>
                <w:szCs w:val="20"/>
              </w:rPr>
            </w:pPr>
            <w:r>
              <w:rPr>
                <w:rFonts w:ascii="Verdana" w:hAnsi="Verdana"/>
                <w:b/>
                <w:sz w:val="20"/>
                <w:szCs w:val="20"/>
              </w:rPr>
              <w:t>After measurements samples should be</w:t>
            </w:r>
          </w:p>
          <w:p w14:paraId="7FD2C29C" w14:textId="77777777" w:rsidR="00635AEF" w:rsidRDefault="00000000">
            <w:pPr>
              <w:rPr>
                <w:rFonts w:ascii="Verdana" w:hAnsi="Verdana"/>
                <w:sz w:val="20"/>
                <w:szCs w:val="20"/>
              </w:rPr>
            </w:pPr>
            <w:r>
              <w:rPr>
                <w:rFonts w:ascii="Verdana" w:hAnsi="Verdana"/>
                <w:sz w:val="20"/>
                <w:szCs w:val="20"/>
              </w:rPr>
              <w:t>[check field]</w:t>
            </w:r>
          </w:p>
        </w:tc>
        <w:tc>
          <w:tcPr>
            <w:tcW w:w="6662" w:type="dxa"/>
            <w:tcMar>
              <w:top w:w="113" w:type="dxa"/>
              <w:bottom w:w="113" w:type="dxa"/>
            </w:tcMar>
            <w:vAlign w:val="center"/>
          </w:tcPr>
          <w:p w14:paraId="5380E909" w14:textId="77777777" w:rsidR="00635AEF" w:rsidRDefault="00000000">
            <w:pPr>
              <w:rPr>
                <w:rFonts w:ascii="Verdana" w:hAnsi="Verdana" w:cs="Arial"/>
                <w:sz w:val="20"/>
                <w:szCs w:val="20"/>
                <w:lang w:val="en-GB"/>
              </w:rPr>
            </w:pPr>
            <w:sdt>
              <w:sdtPr>
                <w:rPr>
                  <w:rFonts w:ascii="Verdana" w:hAnsi="Verdana"/>
                  <w:sz w:val="20"/>
                  <w:szCs w:val="20"/>
                </w:rPr>
                <w:id w:val="-21944173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Verdana" w:hAnsi="Verdana"/>
                <w:sz w:val="20"/>
                <w:szCs w:val="20"/>
              </w:rPr>
              <w:t xml:space="preserve">  </w:t>
            </w:r>
            <w:r>
              <w:rPr>
                <w:rFonts w:ascii="Verdana" w:hAnsi="Verdana" w:cs="Arial"/>
                <w:sz w:val="20"/>
                <w:szCs w:val="20"/>
                <w:lang w:val="en-GB"/>
              </w:rPr>
              <w:t>retrieved by the provider at own costs (</w:t>
            </w:r>
            <w:r>
              <w:rPr>
                <w:rFonts w:ascii="Verdana" w:hAnsi="Verdana"/>
                <w:sz w:val="20"/>
                <w:szCs w:val="20"/>
              </w:rPr>
              <w:t>Please place an order with a courier company to pick samples up at our facility</w:t>
            </w:r>
            <w:r>
              <w:rPr>
                <w:rFonts w:ascii="Verdana" w:hAnsi="Verdana" w:cs="Arial"/>
                <w:sz w:val="20"/>
                <w:szCs w:val="20"/>
                <w:lang w:val="en-GB"/>
              </w:rPr>
              <w:t>)</w:t>
            </w:r>
            <w:r>
              <w:rPr>
                <w:rFonts w:ascii="Verdana" w:hAnsi="Verdana" w:cs="Arial"/>
                <w:sz w:val="20"/>
                <w:szCs w:val="20"/>
                <w:lang w:val="en-GB"/>
              </w:rPr>
              <w:br/>
            </w:r>
            <w:r>
              <w:rPr>
                <w:rFonts w:ascii="Verdana" w:hAnsi="Verdana" w:cs="Arial"/>
                <w:sz w:val="20"/>
                <w:szCs w:val="20"/>
                <w:lang w:val="en-GB"/>
              </w:rPr>
              <w:br/>
            </w:r>
            <w:sdt>
              <w:sdtPr>
                <w:rPr>
                  <w:rFonts w:ascii="Verdana" w:hAnsi="Verdana"/>
                  <w:sz w:val="20"/>
                  <w:szCs w:val="20"/>
                </w:rPr>
                <w:id w:val="1154034086"/>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Verdana" w:hAnsi="Verdana"/>
                <w:sz w:val="20"/>
                <w:szCs w:val="20"/>
              </w:rPr>
              <w:t xml:space="preserve">  destroyed after </w:t>
            </w:r>
            <w:r>
              <w:rPr>
                <w:rFonts w:ascii="Verdana" w:hAnsi="Verdana"/>
                <w:sz w:val="20"/>
                <w:szCs w:val="20"/>
                <w:lang w:val="en-GB"/>
              </w:rPr>
              <w:t>6 months of storage at -80 °C</w:t>
            </w:r>
          </w:p>
        </w:tc>
      </w:tr>
    </w:tbl>
    <w:p w14:paraId="22294C41" w14:textId="77777777" w:rsidR="00635AEF" w:rsidRDefault="00635AEF">
      <w:pPr>
        <w:rPr>
          <w:lang w:val="en-GB"/>
        </w:rPr>
      </w:pPr>
    </w:p>
    <w:p w14:paraId="255F1EA0" w14:textId="77777777" w:rsidR="00635AEF" w:rsidRDefault="00635AEF">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635AEF" w14:paraId="5DA59959" w14:textId="77777777">
        <w:trPr>
          <w:trHeight w:val="454"/>
        </w:trPr>
        <w:tc>
          <w:tcPr>
            <w:tcW w:w="9180" w:type="dxa"/>
            <w:shd w:val="clear" w:color="auto" w:fill="B6DDE8" w:themeFill="accent5" w:themeFillTint="66"/>
          </w:tcPr>
          <w:p w14:paraId="4D269EC4" w14:textId="77777777" w:rsidR="00635AEF" w:rsidRDefault="00000000">
            <w:pPr>
              <w:pStyle w:val="Style1"/>
              <w:rPr>
                <w:sz w:val="20"/>
                <w:szCs w:val="20"/>
              </w:rPr>
            </w:pPr>
            <w:r>
              <w:rPr>
                <w:sz w:val="20"/>
                <w:szCs w:val="20"/>
              </w:rPr>
              <w:t>Declaration of consent</w:t>
            </w:r>
          </w:p>
        </w:tc>
      </w:tr>
      <w:tr w:rsidR="00635AEF" w14:paraId="29E3D0EB" w14:textId="77777777">
        <w:trPr>
          <w:trHeight w:val="750"/>
        </w:trPr>
        <w:tc>
          <w:tcPr>
            <w:tcW w:w="9180" w:type="dxa"/>
          </w:tcPr>
          <w:p w14:paraId="34F8C47F" w14:textId="4BB291AA" w:rsidR="00635AEF" w:rsidRDefault="00000000">
            <w:pPr>
              <w:pStyle w:val="Style2"/>
              <w:rPr>
                <w:lang w:val="en-US"/>
              </w:rPr>
            </w:pPr>
            <w:r>
              <w:rPr>
                <w:lang w:val="en-US"/>
              </w:rPr>
              <w:t>I consent to the information and contact details provided by myself being used by Helmholtz Zentrum München to contact me for communication purposes and address my query. This is especially applicable for the use of my E-Mail address and potentially my phone number. I know that I can revoke my consent to the collection, use, and storage of my personal data at any time by sending my revocation to proteomics@helmholtz-mu</w:t>
            </w:r>
            <w:r w:rsidR="00C3192C">
              <w:rPr>
                <w:lang w:val="en-US"/>
              </w:rPr>
              <w:t>nich</w:t>
            </w:r>
            <w:r>
              <w:rPr>
                <w:lang w:val="en-US"/>
              </w:rPr>
              <w:t xml:space="preserve">.de. For any queries regarding the use of my personal data on this website, please see the </w:t>
            </w:r>
            <w:hyperlink r:id="rId9" w:history="1">
              <w:r>
                <w:rPr>
                  <w:rStyle w:val="Hyperlink"/>
                  <w:lang w:val="en-US"/>
                </w:rPr>
                <w:t>DATA PROTECTION STATEMENT</w:t>
              </w:r>
            </w:hyperlink>
            <w:r>
              <w:rPr>
                <w:lang w:val="en-US"/>
              </w:rPr>
              <w:t xml:space="preserve"> (</w:t>
            </w:r>
            <w:hyperlink r:id="rId10" w:history="1">
              <w:r>
                <w:rPr>
                  <w:rStyle w:val="Hyperlink"/>
                </w:rPr>
                <w:t>https://www.helmholtz-muenchen.de/en/privacy-statement/index.html</w:t>
              </w:r>
            </w:hyperlink>
            <w:r>
              <w:t xml:space="preserve">) </w:t>
            </w:r>
            <w:r>
              <w:rPr>
                <w:lang w:val="en-US"/>
              </w:rPr>
              <w:t>For any further inquiries regarding your personal data, please contact our Data Protection Officer at: datenschutz@helmholtz-m</w:t>
            </w:r>
            <w:r w:rsidR="00C3192C">
              <w:rPr>
                <w:lang w:val="en-US"/>
              </w:rPr>
              <w:t>unich</w:t>
            </w:r>
            <w:r>
              <w:rPr>
                <w:lang w:val="en-US"/>
              </w:rPr>
              <w:t xml:space="preserve">.de </w:t>
            </w:r>
          </w:p>
          <w:p w14:paraId="46971BD2" w14:textId="77777777" w:rsidR="00635AEF" w:rsidRDefault="00635AEF">
            <w:pPr>
              <w:pStyle w:val="Style2"/>
              <w:rPr>
                <w:lang w:val="en-US"/>
              </w:rPr>
            </w:pPr>
          </w:p>
          <w:p w14:paraId="2E131F68" w14:textId="77777777" w:rsidR="00635AEF" w:rsidRDefault="00000000">
            <w:pPr>
              <w:pStyle w:val="Style2"/>
              <w:rPr>
                <w:lang w:val="en-US"/>
              </w:rPr>
            </w:pPr>
            <w:r>
              <w:rPr>
                <w:lang w:val="en-US"/>
              </w:rPr>
              <w:t>Click here to agree*</w:t>
            </w:r>
          </w:p>
          <w:p w14:paraId="2EA8A3A3" w14:textId="77777777" w:rsidR="00635AEF" w:rsidRDefault="00000000">
            <w:pPr>
              <w:pStyle w:val="Style2"/>
            </w:pPr>
            <w:sdt>
              <w:sdtPr>
                <w:id w:val="1084025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read the Data protection statement and I agree. </w:t>
            </w:r>
          </w:p>
          <w:p w14:paraId="169A694D" w14:textId="77777777" w:rsidR="00635AEF" w:rsidRDefault="00000000">
            <w:pPr>
              <w:pStyle w:val="Style2"/>
            </w:pPr>
            <w:sdt>
              <w:sdtPr>
                <w:id w:val="348999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read the notes above and I agree.</w:t>
            </w:r>
          </w:p>
          <w:p w14:paraId="3CC67495" w14:textId="77777777" w:rsidR="00635AEF" w:rsidRDefault="00635AEF">
            <w:pPr>
              <w:pStyle w:val="Style2"/>
            </w:pPr>
          </w:p>
          <w:p w14:paraId="24734828" w14:textId="77777777" w:rsidR="00635AEF" w:rsidRDefault="00000000">
            <w:pPr>
              <w:pStyle w:val="Style2"/>
            </w:pPr>
            <w:r>
              <w:t xml:space="preserve">____________________        _______________________________ </w:t>
            </w:r>
          </w:p>
          <w:p w14:paraId="75A3D9B4" w14:textId="77777777" w:rsidR="00635AEF" w:rsidRDefault="00000000">
            <w:pPr>
              <w:pStyle w:val="Style2"/>
            </w:pPr>
            <w:r>
              <w:t>Place, Date                            Signature</w:t>
            </w:r>
          </w:p>
        </w:tc>
      </w:tr>
    </w:tbl>
    <w:p w14:paraId="23D28B09" w14:textId="77777777" w:rsidR="00635AEF" w:rsidRDefault="00635AEF">
      <w:pPr>
        <w:rPr>
          <w:rFonts w:ascii="Verdana" w:hAnsi="Verdana"/>
          <w:sz w:val="20"/>
          <w:szCs w:val="20"/>
          <w:lang w:val="en-GB"/>
        </w:rPr>
      </w:pPr>
    </w:p>
    <w:p w14:paraId="5F2C8C91" w14:textId="77777777" w:rsidR="00635AEF" w:rsidRDefault="00635AEF">
      <w:pPr>
        <w:rPr>
          <w:rFonts w:ascii="Verdana" w:hAnsi="Verdana"/>
          <w:sz w:val="20"/>
          <w:szCs w:val="20"/>
          <w:lang w:val="en-GB"/>
        </w:rPr>
      </w:pPr>
    </w:p>
    <w:p w14:paraId="4B198EA3" w14:textId="77777777" w:rsidR="00635AEF" w:rsidRDefault="00635AEF">
      <w:pPr>
        <w:jc w:val="center"/>
        <w:rPr>
          <w:rFonts w:ascii="Verdana" w:hAnsi="Verdana"/>
          <w:color w:val="FF0000"/>
          <w:sz w:val="20"/>
          <w:szCs w:val="20"/>
          <w:lang w:val="en-GB"/>
        </w:rPr>
      </w:pPr>
    </w:p>
    <w:p w14:paraId="2E81D5A3" w14:textId="77777777" w:rsidR="00635AEF" w:rsidRDefault="00635AEF">
      <w:pPr>
        <w:jc w:val="center"/>
        <w:rPr>
          <w:rFonts w:ascii="Verdana" w:hAnsi="Verdana"/>
          <w:color w:val="FF0000"/>
          <w:sz w:val="20"/>
          <w:szCs w:val="20"/>
          <w:lang w:val="en-GB"/>
        </w:rPr>
      </w:pPr>
    </w:p>
    <w:p w14:paraId="45EDA090" w14:textId="77777777" w:rsidR="00635AEF" w:rsidRDefault="00635AEF">
      <w:pPr>
        <w:jc w:val="center"/>
        <w:rPr>
          <w:rFonts w:ascii="Verdana" w:hAnsi="Verdana"/>
          <w:color w:val="FF0000"/>
          <w:sz w:val="20"/>
          <w:szCs w:val="20"/>
          <w:lang w:val="en-GB"/>
        </w:rPr>
      </w:pPr>
    </w:p>
    <w:p w14:paraId="48357FB1" w14:textId="77777777" w:rsidR="00635AEF" w:rsidRDefault="00635AEF">
      <w:pPr>
        <w:jc w:val="center"/>
        <w:rPr>
          <w:rFonts w:ascii="Verdana" w:hAnsi="Verdana"/>
          <w:color w:val="FF0000"/>
          <w:sz w:val="20"/>
          <w:szCs w:val="20"/>
          <w:lang w:val="en-GB"/>
        </w:rPr>
      </w:pPr>
    </w:p>
    <w:p w14:paraId="477078CD" w14:textId="77777777" w:rsidR="00635AEF" w:rsidRDefault="00635AEF">
      <w:pPr>
        <w:jc w:val="center"/>
        <w:rPr>
          <w:rFonts w:ascii="Verdana" w:hAnsi="Verdana"/>
          <w:color w:val="FF0000"/>
          <w:sz w:val="20"/>
          <w:szCs w:val="20"/>
          <w:lang w:val="en-GB"/>
        </w:rPr>
      </w:pPr>
    </w:p>
    <w:p w14:paraId="40D71F99" w14:textId="77777777" w:rsidR="00635AEF" w:rsidRDefault="00635AEF">
      <w:pPr>
        <w:jc w:val="center"/>
        <w:rPr>
          <w:rFonts w:ascii="Verdana" w:hAnsi="Verdana"/>
          <w:color w:val="FF0000"/>
          <w:sz w:val="20"/>
          <w:szCs w:val="20"/>
          <w:lang w:val="en-GB"/>
        </w:rPr>
      </w:pPr>
    </w:p>
    <w:p w14:paraId="17E4033B" w14:textId="77777777" w:rsidR="00635AEF" w:rsidRDefault="00635AEF">
      <w:pPr>
        <w:jc w:val="center"/>
        <w:rPr>
          <w:rFonts w:ascii="Verdana" w:hAnsi="Verdana"/>
          <w:color w:val="FF0000"/>
          <w:sz w:val="20"/>
          <w:szCs w:val="20"/>
          <w:lang w:val="en-GB"/>
        </w:rPr>
      </w:pPr>
    </w:p>
    <w:p w14:paraId="215CAF53" w14:textId="77777777" w:rsidR="00635AEF" w:rsidRDefault="00635AEF">
      <w:pPr>
        <w:jc w:val="center"/>
        <w:rPr>
          <w:rFonts w:ascii="Verdana" w:hAnsi="Verdana"/>
          <w:color w:val="FF0000"/>
          <w:sz w:val="20"/>
          <w:szCs w:val="20"/>
          <w:lang w:val="en-GB"/>
        </w:rPr>
      </w:pPr>
    </w:p>
    <w:p w14:paraId="7BBEC22A" w14:textId="77777777" w:rsidR="00635AEF" w:rsidRDefault="00635AEF">
      <w:pPr>
        <w:jc w:val="center"/>
        <w:rPr>
          <w:rFonts w:ascii="Verdana" w:hAnsi="Verdana"/>
          <w:color w:val="FF0000"/>
          <w:sz w:val="20"/>
          <w:szCs w:val="20"/>
          <w:lang w:val="en-GB"/>
        </w:rPr>
      </w:pPr>
    </w:p>
    <w:p w14:paraId="602BBC3E" w14:textId="77777777" w:rsidR="00635AEF" w:rsidRDefault="00635AEF">
      <w:pPr>
        <w:jc w:val="center"/>
        <w:rPr>
          <w:rFonts w:ascii="Verdana" w:hAnsi="Verdana"/>
          <w:color w:val="FF0000"/>
          <w:sz w:val="20"/>
          <w:szCs w:val="20"/>
          <w:lang w:val="en-GB"/>
        </w:rPr>
      </w:pPr>
    </w:p>
    <w:p w14:paraId="08E18173" w14:textId="77777777" w:rsidR="00635AEF" w:rsidRDefault="00635AEF">
      <w:pPr>
        <w:rPr>
          <w:rFonts w:ascii="Verdana" w:hAnsi="Verdana"/>
          <w:color w:val="FF0000"/>
          <w:sz w:val="20"/>
          <w:szCs w:val="20"/>
          <w:lang w:val="en-GB"/>
        </w:rPr>
      </w:pPr>
    </w:p>
    <w:p w14:paraId="4E2FD3F8" w14:textId="77777777" w:rsidR="00635AEF" w:rsidRDefault="00635AEF">
      <w:pPr>
        <w:jc w:val="center"/>
        <w:rPr>
          <w:rFonts w:ascii="Verdana" w:hAnsi="Verdana"/>
          <w:color w:val="FF0000"/>
          <w:sz w:val="20"/>
          <w:szCs w:val="20"/>
          <w:lang w:val="en-GB"/>
        </w:rPr>
      </w:pPr>
    </w:p>
    <w:p w14:paraId="1BE3BDF8" w14:textId="77777777" w:rsidR="00635AEF" w:rsidRDefault="00635AEF">
      <w:pPr>
        <w:jc w:val="center"/>
        <w:rPr>
          <w:rFonts w:ascii="Verdana" w:hAnsi="Verdana"/>
          <w:color w:val="FF0000"/>
          <w:sz w:val="20"/>
          <w:szCs w:val="20"/>
          <w:lang w:val="en-GB"/>
        </w:rPr>
      </w:pPr>
    </w:p>
    <w:p w14:paraId="0AFB83A7" w14:textId="77777777" w:rsidR="00635AEF" w:rsidRDefault="00000000">
      <w:pPr>
        <w:rPr>
          <w:rFonts w:ascii="Verdana" w:hAnsi="Verdana"/>
          <w:color w:val="FF0000"/>
          <w:sz w:val="20"/>
          <w:szCs w:val="20"/>
          <w:lang w:val="en-GB"/>
        </w:rPr>
      </w:pPr>
      <w:r>
        <w:rPr>
          <w:rFonts w:ascii="Verdana" w:hAnsi="Verdana"/>
          <w:color w:val="FF0000"/>
          <w:sz w:val="20"/>
          <w:szCs w:val="20"/>
          <w:lang w:val="en-GB"/>
        </w:rPr>
        <w:lastRenderedPageBreak/>
        <w:br w:type="page"/>
      </w:r>
    </w:p>
    <w:p w14:paraId="6DF645C1" w14:textId="77777777" w:rsidR="00635AEF" w:rsidRDefault="00635AEF">
      <w:pPr>
        <w:jc w:val="center"/>
        <w:rPr>
          <w:rFonts w:ascii="Verdana" w:hAnsi="Verdana"/>
          <w:color w:val="FF0000"/>
          <w:sz w:val="20"/>
          <w:szCs w:val="20"/>
          <w:lang w:val="en-GB"/>
        </w:rPr>
      </w:pPr>
    </w:p>
    <w:p w14:paraId="1BDEDDC6" w14:textId="77777777" w:rsidR="00635AEF" w:rsidRDefault="00000000">
      <w:pPr>
        <w:jc w:val="center"/>
        <w:rPr>
          <w:rFonts w:ascii="Verdana" w:hAnsi="Verdana"/>
          <w:color w:val="FF0000"/>
          <w:sz w:val="20"/>
          <w:szCs w:val="20"/>
          <w:lang w:val="en-GB"/>
        </w:rPr>
      </w:pPr>
      <w:r>
        <w:rPr>
          <w:rFonts w:ascii="Verdana" w:hAnsi="Verdana"/>
          <w:color w:val="FF0000"/>
          <w:sz w:val="20"/>
          <w:szCs w:val="20"/>
          <w:lang w:val="en-GB"/>
        </w:rPr>
        <w:t>Please read carefully below before you proceed with shipping:</w:t>
      </w:r>
    </w:p>
    <w:p w14:paraId="4FEEB4B1" w14:textId="77777777" w:rsidR="00635AEF" w:rsidRDefault="00635AEF">
      <w:pPr>
        <w:rPr>
          <w:rFonts w:ascii="Verdana" w:hAnsi="Verdana"/>
          <w:b/>
          <w:sz w:val="20"/>
          <w:szCs w:val="20"/>
          <w:lang w:val="en-GB"/>
        </w:rPr>
      </w:pPr>
    </w:p>
    <w:p w14:paraId="1396DA3F" w14:textId="77777777" w:rsidR="00635AEF" w:rsidRDefault="00000000">
      <w:pPr>
        <w:pStyle w:val="ListParagraph"/>
        <w:numPr>
          <w:ilvl w:val="0"/>
          <w:numId w:val="9"/>
        </w:numPr>
        <w:jc w:val="both"/>
        <w:rPr>
          <w:rFonts w:ascii="Verdana" w:hAnsi="Verdana"/>
          <w:b/>
          <w:sz w:val="20"/>
          <w:szCs w:val="20"/>
          <w:lang w:val="en-GB"/>
        </w:rPr>
      </w:pPr>
      <w:r>
        <w:rPr>
          <w:rFonts w:ascii="Verdana" w:hAnsi="Verdana"/>
          <w:b/>
          <w:sz w:val="20"/>
          <w:szCs w:val="20"/>
          <w:lang w:val="en-GB"/>
        </w:rPr>
        <w:t>STUDY DESIGN:</w:t>
      </w:r>
    </w:p>
    <w:p w14:paraId="1D3F649A" w14:textId="77777777" w:rsidR="00635AEF" w:rsidRDefault="00635AEF">
      <w:pPr>
        <w:jc w:val="both"/>
        <w:rPr>
          <w:rFonts w:ascii="Verdana" w:hAnsi="Verdana"/>
          <w:b/>
          <w:sz w:val="20"/>
          <w:szCs w:val="20"/>
          <w:lang w:val="en-GB"/>
        </w:rPr>
      </w:pPr>
    </w:p>
    <w:p w14:paraId="240326E3" w14:textId="77777777" w:rsidR="00635AEF" w:rsidRDefault="00000000">
      <w:pPr>
        <w:pStyle w:val="ListParagraph"/>
        <w:numPr>
          <w:ilvl w:val="0"/>
          <w:numId w:val="5"/>
        </w:numPr>
        <w:jc w:val="both"/>
        <w:rPr>
          <w:rFonts w:ascii="Verdana" w:hAnsi="Verdana"/>
          <w:b/>
          <w:sz w:val="20"/>
          <w:szCs w:val="20"/>
          <w:lang w:val="en-GB"/>
        </w:rPr>
      </w:pPr>
      <w:r>
        <w:rPr>
          <w:rFonts w:ascii="Verdana" w:hAnsi="Verdana"/>
          <w:b/>
          <w:sz w:val="20"/>
          <w:szCs w:val="20"/>
          <w:lang w:val="en-GB"/>
        </w:rPr>
        <w:t>SAMPLE SELECTION:</w:t>
      </w:r>
    </w:p>
    <w:p w14:paraId="27F79C1F" w14:textId="77777777" w:rsidR="00635AEF" w:rsidRDefault="00000000">
      <w:pPr>
        <w:pStyle w:val="ListParagraph"/>
        <w:jc w:val="both"/>
        <w:rPr>
          <w:rFonts w:ascii="Verdana" w:hAnsi="Verdana"/>
          <w:sz w:val="20"/>
          <w:szCs w:val="20"/>
          <w:lang w:val="en-US"/>
        </w:rPr>
      </w:pPr>
      <w:r>
        <w:rPr>
          <w:rFonts w:ascii="Verdana" w:hAnsi="Verdana"/>
          <w:sz w:val="20"/>
          <w:szCs w:val="20"/>
          <w:lang w:val="en-US"/>
        </w:rPr>
        <w:t xml:space="preserve">Careful sample selection can help alleviate bias in results. </w:t>
      </w:r>
    </w:p>
    <w:p w14:paraId="612D19F1" w14:textId="77777777" w:rsidR="00635AEF" w:rsidRDefault="00000000">
      <w:pPr>
        <w:pStyle w:val="ListParagraph"/>
        <w:numPr>
          <w:ilvl w:val="0"/>
          <w:numId w:val="8"/>
        </w:numPr>
        <w:jc w:val="both"/>
        <w:rPr>
          <w:rFonts w:ascii="Verdana" w:hAnsi="Verdana"/>
          <w:sz w:val="20"/>
          <w:szCs w:val="20"/>
          <w:lang w:val="en-US"/>
        </w:rPr>
      </w:pPr>
      <w:r>
        <w:rPr>
          <w:rFonts w:ascii="Verdana" w:hAnsi="Verdana"/>
          <w:sz w:val="20"/>
          <w:szCs w:val="20"/>
          <w:lang w:val="en-US"/>
        </w:rPr>
        <w:t xml:space="preserve">Cases and controls must be the </w:t>
      </w:r>
      <w:r>
        <w:rPr>
          <w:rFonts w:ascii="Verdana" w:hAnsi="Verdana"/>
          <w:sz w:val="20"/>
          <w:szCs w:val="20"/>
          <w:u w:val="single"/>
          <w:lang w:val="en-US"/>
        </w:rPr>
        <w:t>same sample matrix</w:t>
      </w:r>
      <w:r>
        <w:rPr>
          <w:rFonts w:ascii="Verdana" w:hAnsi="Verdana"/>
          <w:sz w:val="20"/>
          <w:szCs w:val="20"/>
          <w:lang w:val="en-US"/>
        </w:rPr>
        <w:t xml:space="preserve"> (different plasma collection methods are different matrices!).</w:t>
      </w:r>
    </w:p>
    <w:p w14:paraId="1A4913BC" w14:textId="77777777" w:rsidR="00635AEF" w:rsidRDefault="00000000">
      <w:pPr>
        <w:pStyle w:val="ListParagraph"/>
        <w:numPr>
          <w:ilvl w:val="0"/>
          <w:numId w:val="8"/>
        </w:numPr>
        <w:jc w:val="both"/>
        <w:rPr>
          <w:rFonts w:ascii="Verdana" w:hAnsi="Verdana"/>
          <w:sz w:val="20"/>
          <w:szCs w:val="20"/>
          <w:lang w:val="en-US"/>
        </w:rPr>
      </w:pPr>
      <w:r>
        <w:rPr>
          <w:rFonts w:ascii="Verdana" w:hAnsi="Verdana"/>
          <w:sz w:val="20"/>
          <w:szCs w:val="20"/>
          <w:lang w:val="en-US"/>
        </w:rPr>
        <w:t>Control samples should be well matched to cases (ethnicity, age, sex differences can introduce bias).</w:t>
      </w:r>
    </w:p>
    <w:p w14:paraId="0086DD55" w14:textId="77777777" w:rsidR="00635AEF" w:rsidRDefault="00000000">
      <w:pPr>
        <w:pStyle w:val="ListParagraph"/>
        <w:numPr>
          <w:ilvl w:val="0"/>
          <w:numId w:val="8"/>
        </w:numPr>
        <w:jc w:val="both"/>
        <w:rPr>
          <w:rFonts w:ascii="Verdana" w:hAnsi="Verdana"/>
          <w:sz w:val="20"/>
          <w:szCs w:val="20"/>
          <w:lang w:val="en-US"/>
        </w:rPr>
      </w:pPr>
      <w:r>
        <w:rPr>
          <w:rFonts w:ascii="Verdana" w:hAnsi="Verdana"/>
          <w:sz w:val="20"/>
          <w:szCs w:val="20"/>
          <w:u w:val="single"/>
          <w:lang w:val="en-US"/>
        </w:rPr>
        <w:t>Sample handling variability should be kept at a minimum</w:t>
      </w:r>
      <w:r>
        <w:rPr>
          <w:rFonts w:ascii="Verdana" w:hAnsi="Verdana"/>
          <w:sz w:val="20"/>
          <w:szCs w:val="20"/>
          <w:lang w:val="en-US"/>
        </w:rPr>
        <w:t xml:space="preserve"> between all samples in a study.</w:t>
      </w:r>
    </w:p>
    <w:p w14:paraId="50E5A4AC" w14:textId="77777777" w:rsidR="00635AEF" w:rsidRDefault="00000000">
      <w:pPr>
        <w:pStyle w:val="ListParagraph"/>
        <w:numPr>
          <w:ilvl w:val="0"/>
          <w:numId w:val="8"/>
        </w:numPr>
        <w:jc w:val="both"/>
        <w:rPr>
          <w:rFonts w:ascii="Verdana" w:hAnsi="Verdana"/>
          <w:sz w:val="20"/>
          <w:szCs w:val="20"/>
          <w:lang w:val="en-US"/>
        </w:rPr>
      </w:pPr>
      <w:r>
        <w:rPr>
          <w:rFonts w:ascii="Verdana" w:hAnsi="Verdana"/>
          <w:sz w:val="20"/>
          <w:szCs w:val="20"/>
          <w:lang w:val="en-US"/>
        </w:rPr>
        <w:t xml:space="preserve">Use a </w:t>
      </w:r>
      <w:r>
        <w:rPr>
          <w:rFonts w:ascii="Verdana" w:hAnsi="Verdana"/>
          <w:sz w:val="20"/>
          <w:szCs w:val="20"/>
          <w:u w:val="single"/>
          <w:lang w:val="en-US"/>
        </w:rPr>
        <w:t>balanced design</w:t>
      </w:r>
      <w:r>
        <w:rPr>
          <w:rFonts w:ascii="Verdana" w:hAnsi="Verdana"/>
          <w:sz w:val="20"/>
          <w:szCs w:val="20"/>
          <w:lang w:val="en-US"/>
        </w:rPr>
        <w:t xml:space="preserve"> (same number of samples in each group) as far as possible. If the size of the groups is not the same, power is best increased by enlarging the smallest group.</w:t>
      </w:r>
    </w:p>
    <w:p w14:paraId="14EB4D6E" w14:textId="77777777" w:rsidR="00635AEF" w:rsidRDefault="00635AEF">
      <w:pPr>
        <w:jc w:val="both"/>
        <w:rPr>
          <w:rFonts w:ascii="Verdana" w:hAnsi="Verdana"/>
          <w:b/>
          <w:sz w:val="20"/>
          <w:szCs w:val="20"/>
          <w:lang w:val="en-GB"/>
        </w:rPr>
      </w:pPr>
    </w:p>
    <w:p w14:paraId="220625F7" w14:textId="77777777" w:rsidR="00635AEF" w:rsidRDefault="00000000">
      <w:pPr>
        <w:pStyle w:val="ListParagraph"/>
        <w:numPr>
          <w:ilvl w:val="0"/>
          <w:numId w:val="5"/>
        </w:numPr>
        <w:jc w:val="both"/>
        <w:rPr>
          <w:rFonts w:ascii="Verdana" w:hAnsi="Verdana"/>
          <w:b/>
          <w:sz w:val="20"/>
          <w:szCs w:val="20"/>
          <w:lang w:val="en-GB"/>
        </w:rPr>
      </w:pPr>
      <w:r>
        <w:rPr>
          <w:rFonts w:ascii="Verdana" w:hAnsi="Verdana"/>
          <w:b/>
          <w:sz w:val="20"/>
          <w:szCs w:val="20"/>
          <w:lang w:val="en-GB"/>
        </w:rPr>
        <w:t>SAMPLE RANDOMIZATION:</w:t>
      </w:r>
    </w:p>
    <w:p w14:paraId="60EB46A0" w14:textId="77777777" w:rsidR="00635AEF" w:rsidRDefault="00000000">
      <w:pPr>
        <w:pStyle w:val="ListParagraph"/>
        <w:jc w:val="both"/>
        <w:rPr>
          <w:rFonts w:ascii="Verdana" w:hAnsi="Verdana"/>
          <w:sz w:val="20"/>
          <w:szCs w:val="20"/>
          <w:lang w:val="en-GB"/>
        </w:rPr>
      </w:pPr>
      <w:r>
        <w:rPr>
          <w:rFonts w:ascii="Verdana" w:hAnsi="Verdana"/>
          <w:sz w:val="20"/>
          <w:szCs w:val="20"/>
          <w:lang w:val="en-GB"/>
        </w:rPr>
        <w:t>Correct sample randomization will empower your study and minimize the risk of introducing any bias that can confound downstream analyses. If randomization is not performed, the normalization might remove true biological variation that otherwise could have been identified.</w:t>
      </w:r>
    </w:p>
    <w:p w14:paraId="3D01566C" w14:textId="77777777" w:rsidR="00635AEF" w:rsidRDefault="00000000">
      <w:pPr>
        <w:pStyle w:val="ListParagraph"/>
        <w:jc w:val="both"/>
        <w:rPr>
          <w:rFonts w:ascii="Verdana" w:hAnsi="Verdana"/>
          <w:sz w:val="20"/>
          <w:szCs w:val="20"/>
          <w:lang w:val="en-GB"/>
        </w:rPr>
      </w:pPr>
      <w:r>
        <w:rPr>
          <w:rFonts w:ascii="Verdana" w:hAnsi="Verdana"/>
          <w:sz w:val="20"/>
          <w:szCs w:val="20"/>
          <w:lang w:val="en-GB"/>
        </w:rPr>
        <w:t xml:space="preserve">Therefore ensure that your samples are </w:t>
      </w:r>
      <w:r>
        <w:rPr>
          <w:rFonts w:ascii="Verdana" w:hAnsi="Verdana"/>
          <w:b/>
          <w:sz w:val="20"/>
          <w:szCs w:val="20"/>
          <w:u w:val="single"/>
          <w:lang w:val="en-GB"/>
        </w:rPr>
        <w:t>optimally randomized</w:t>
      </w:r>
      <w:r>
        <w:rPr>
          <w:rFonts w:ascii="Verdana" w:hAnsi="Verdana"/>
          <w:sz w:val="20"/>
          <w:szCs w:val="20"/>
          <w:lang w:val="en-GB"/>
        </w:rPr>
        <w:t xml:space="preserve"> so that </w:t>
      </w:r>
      <w:r>
        <w:rPr>
          <w:rFonts w:ascii="Verdana" w:hAnsi="Verdana"/>
          <w:b/>
          <w:sz w:val="20"/>
          <w:szCs w:val="20"/>
          <w:u w:val="single"/>
          <w:lang w:val="en-GB"/>
        </w:rPr>
        <w:t>all variables present in your cohort are balanced across and within plates</w:t>
      </w:r>
      <w:r>
        <w:rPr>
          <w:rFonts w:ascii="Verdana" w:hAnsi="Verdana"/>
          <w:sz w:val="20"/>
          <w:szCs w:val="20"/>
          <w:lang w:val="en-GB"/>
        </w:rPr>
        <w:t xml:space="preserve">. Variables to randomize for include study groups, treatment, sampling time points or demographics, plasma collection procedure, sample matrix (EDTA, heparin, citrate…). Samples in a longitudinal study that are collected from the same individual at different time points should all be included </w:t>
      </w:r>
      <w:r>
        <w:rPr>
          <w:rFonts w:ascii="Verdana" w:hAnsi="Verdana"/>
          <w:b/>
          <w:sz w:val="20"/>
          <w:szCs w:val="20"/>
          <w:lang w:val="en-GB"/>
        </w:rPr>
        <w:t>on the same plate</w:t>
      </w:r>
      <w:r>
        <w:rPr>
          <w:rFonts w:ascii="Verdana" w:hAnsi="Verdana"/>
          <w:sz w:val="20"/>
          <w:szCs w:val="20"/>
          <w:lang w:val="en-GB"/>
        </w:rPr>
        <w:t xml:space="preserve"> to further reduce variation in the data.</w:t>
      </w:r>
    </w:p>
    <w:p w14:paraId="775D2F18" w14:textId="77777777" w:rsidR="00635AEF" w:rsidRDefault="00635AEF">
      <w:pPr>
        <w:pStyle w:val="ListParagraph"/>
        <w:jc w:val="both"/>
        <w:rPr>
          <w:rFonts w:ascii="Verdana" w:hAnsi="Verdana"/>
          <w:sz w:val="20"/>
          <w:szCs w:val="20"/>
          <w:lang w:val="en-GB"/>
        </w:rPr>
      </w:pPr>
    </w:p>
    <w:p w14:paraId="4CE49EF5" w14:textId="77777777" w:rsidR="00635AEF" w:rsidRDefault="00000000">
      <w:pPr>
        <w:pStyle w:val="ListParagraph"/>
        <w:jc w:val="both"/>
        <w:rPr>
          <w:rFonts w:ascii="Verdana" w:hAnsi="Verdana"/>
          <w:sz w:val="20"/>
          <w:szCs w:val="20"/>
          <w:lang w:val="en-GB"/>
        </w:rPr>
      </w:pPr>
      <w:r>
        <w:rPr>
          <w:noProof/>
          <w:lang w:val="en-US" w:eastAsia="en-US"/>
        </w:rPr>
        <w:drawing>
          <wp:inline distT="0" distB="0" distL="0" distR="0" wp14:anchorId="68628CB5" wp14:editId="27BCDC30">
            <wp:extent cx="5477933" cy="22420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9348" cy="2246688"/>
                    </a:xfrm>
                    <a:prstGeom prst="rect">
                      <a:avLst/>
                    </a:prstGeom>
                  </pic:spPr>
                </pic:pic>
              </a:graphicData>
            </a:graphic>
          </wp:inline>
        </w:drawing>
      </w:r>
    </w:p>
    <w:p w14:paraId="79B304ED" w14:textId="77777777" w:rsidR="00635AEF" w:rsidRDefault="00635AEF">
      <w:pPr>
        <w:jc w:val="both"/>
        <w:rPr>
          <w:rFonts w:ascii="Verdana" w:hAnsi="Verdana"/>
          <w:b/>
          <w:sz w:val="20"/>
          <w:szCs w:val="20"/>
          <w:lang w:val="en-US"/>
        </w:rPr>
      </w:pPr>
    </w:p>
    <w:p w14:paraId="63D0F5D3" w14:textId="77777777" w:rsidR="00635AEF" w:rsidRDefault="00000000">
      <w:pPr>
        <w:pStyle w:val="ListParagraph"/>
        <w:numPr>
          <w:ilvl w:val="0"/>
          <w:numId w:val="5"/>
        </w:numPr>
        <w:jc w:val="both"/>
        <w:rPr>
          <w:rFonts w:ascii="Verdana" w:hAnsi="Verdana"/>
          <w:b/>
          <w:sz w:val="20"/>
          <w:szCs w:val="20"/>
          <w:lang w:val="en-GB"/>
        </w:rPr>
      </w:pPr>
      <w:r>
        <w:rPr>
          <w:rFonts w:ascii="Verdana" w:hAnsi="Verdana"/>
          <w:b/>
          <w:sz w:val="20"/>
          <w:szCs w:val="20"/>
          <w:lang w:val="en-GB"/>
        </w:rPr>
        <w:t>BRIDGING SAMPLES – COMPARE SAMPLES FROM DIFFERENT RUNS:</w:t>
      </w:r>
    </w:p>
    <w:p w14:paraId="6273980F" w14:textId="77777777" w:rsidR="00635AEF" w:rsidRDefault="00000000">
      <w:pPr>
        <w:ind w:left="708"/>
        <w:jc w:val="both"/>
        <w:rPr>
          <w:rFonts w:ascii="Verdana" w:hAnsi="Verdana"/>
          <w:sz w:val="20"/>
          <w:szCs w:val="20"/>
          <w:lang w:val="en-GB"/>
        </w:rPr>
      </w:pPr>
      <w:r>
        <w:rPr>
          <w:rFonts w:ascii="Verdana" w:hAnsi="Verdana"/>
          <w:sz w:val="20"/>
          <w:szCs w:val="20"/>
          <w:lang w:val="en-GB"/>
        </w:rPr>
        <w:t xml:space="preserve">If you want to compare results from two or more studies conducted in different time frames, or when samples cannot be randomized across multiple plates in a single study, Olink recommends including </w:t>
      </w:r>
      <w:r>
        <w:rPr>
          <w:rFonts w:ascii="Verdana" w:hAnsi="Verdana"/>
          <w:sz w:val="20"/>
          <w:szCs w:val="20"/>
          <w:u w:val="single"/>
          <w:lang w:val="en-GB"/>
        </w:rPr>
        <w:t>8-16 bridging samples</w:t>
      </w:r>
      <w:r>
        <w:rPr>
          <w:rFonts w:ascii="Verdana" w:hAnsi="Verdana"/>
          <w:sz w:val="20"/>
          <w:szCs w:val="20"/>
          <w:lang w:val="en-GB"/>
        </w:rPr>
        <w:t xml:space="preserve"> in each study. For non-randomized studies, bridging samples should be included on each plate. The bridging samples should be representative of the entire study, for example, include all study groups and be matrix-matched with the other samples. These samples will help reduce technical variation between runs and/or plates.</w:t>
      </w:r>
    </w:p>
    <w:p w14:paraId="079D73AF" w14:textId="77777777" w:rsidR="00635AEF" w:rsidRDefault="00635AEF">
      <w:pPr>
        <w:ind w:left="708"/>
        <w:jc w:val="both"/>
        <w:rPr>
          <w:rFonts w:ascii="Verdana" w:hAnsi="Verdana"/>
          <w:sz w:val="20"/>
          <w:szCs w:val="20"/>
          <w:lang w:val="en-GB"/>
        </w:rPr>
      </w:pPr>
    </w:p>
    <w:p w14:paraId="3E6BBA32" w14:textId="77777777" w:rsidR="00635AEF" w:rsidRDefault="00635AEF">
      <w:pPr>
        <w:ind w:left="708"/>
        <w:jc w:val="both"/>
        <w:rPr>
          <w:rFonts w:ascii="Verdana" w:hAnsi="Verdana"/>
          <w:sz w:val="20"/>
          <w:szCs w:val="20"/>
          <w:lang w:val="en-GB"/>
        </w:rPr>
      </w:pPr>
    </w:p>
    <w:p w14:paraId="45D2DDCA" w14:textId="77777777" w:rsidR="00635AEF" w:rsidRDefault="00635AEF">
      <w:pPr>
        <w:rPr>
          <w:rFonts w:ascii="Verdana" w:hAnsi="Verdana"/>
          <w:b/>
          <w:sz w:val="20"/>
          <w:szCs w:val="20"/>
          <w:lang w:val="en-GB"/>
        </w:rPr>
      </w:pPr>
    </w:p>
    <w:p w14:paraId="45936F1D" w14:textId="77777777" w:rsidR="00635AEF" w:rsidRDefault="00000000">
      <w:pPr>
        <w:pStyle w:val="ListParagraph"/>
        <w:numPr>
          <w:ilvl w:val="0"/>
          <w:numId w:val="9"/>
        </w:numPr>
        <w:rPr>
          <w:rFonts w:ascii="Verdana" w:hAnsi="Verdana"/>
          <w:b/>
          <w:sz w:val="20"/>
          <w:szCs w:val="20"/>
          <w:lang w:val="en-GB"/>
        </w:rPr>
      </w:pPr>
      <w:r>
        <w:rPr>
          <w:rFonts w:ascii="Verdana" w:hAnsi="Verdana"/>
          <w:b/>
          <w:sz w:val="20"/>
          <w:szCs w:val="20"/>
          <w:lang w:val="en-GB"/>
        </w:rPr>
        <w:t xml:space="preserve">SAMPLE PREPARATION: </w:t>
      </w:r>
    </w:p>
    <w:p w14:paraId="441A987B" w14:textId="77777777" w:rsidR="00635AEF" w:rsidRDefault="00635AEF">
      <w:pPr>
        <w:pStyle w:val="ListParagraph"/>
        <w:rPr>
          <w:rFonts w:ascii="Verdana" w:hAnsi="Verdana"/>
          <w:b/>
          <w:sz w:val="20"/>
          <w:szCs w:val="20"/>
          <w:lang w:val="en-GB"/>
        </w:rPr>
      </w:pPr>
    </w:p>
    <w:p w14:paraId="4B588492" w14:textId="77777777" w:rsidR="00635AEF" w:rsidRDefault="00000000">
      <w:pPr>
        <w:pStyle w:val="ListParagraph"/>
        <w:numPr>
          <w:ilvl w:val="0"/>
          <w:numId w:val="5"/>
        </w:numPr>
        <w:jc w:val="both"/>
        <w:rPr>
          <w:rFonts w:ascii="Verdana" w:hAnsi="Verdana"/>
          <w:sz w:val="20"/>
          <w:szCs w:val="20"/>
          <w:lang w:val="en-GB"/>
        </w:rPr>
      </w:pPr>
      <w:r>
        <w:rPr>
          <w:rFonts w:ascii="Verdana" w:hAnsi="Verdana"/>
          <w:sz w:val="20"/>
          <w:szCs w:val="20"/>
          <w:lang w:val="en-GB"/>
        </w:rPr>
        <w:t>One kit measures 88 samples in a 96-well plate format.</w:t>
      </w:r>
    </w:p>
    <w:p w14:paraId="1DE29F5F" w14:textId="77777777" w:rsidR="00635AEF" w:rsidRDefault="00000000">
      <w:pPr>
        <w:pStyle w:val="ListParagraph"/>
        <w:numPr>
          <w:ilvl w:val="0"/>
          <w:numId w:val="5"/>
        </w:numPr>
        <w:jc w:val="both"/>
        <w:rPr>
          <w:rFonts w:ascii="Verdana" w:hAnsi="Verdana"/>
          <w:sz w:val="20"/>
          <w:szCs w:val="20"/>
          <w:u w:val="single"/>
          <w:lang w:val="en-GB"/>
        </w:rPr>
      </w:pPr>
      <w:r>
        <w:rPr>
          <w:rFonts w:ascii="Verdana" w:hAnsi="Verdana"/>
          <w:sz w:val="20"/>
          <w:szCs w:val="20"/>
          <w:u w:val="single"/>
          <w:lang w:val="en-GB"/>
        </w:rPr>
        <w:t xml:space="preserve">Sample volume: </w:t>
      </w:r>
    </w:p>
    <w:p w14:paraId="1A08BA2F" w14:textId="77777777" w:rsidR="00635AEF" w:rsidRDefault="00000000">
      <w:pPr>
        <w:pStyle w:val="ListParagraph"/>
        <w:jc w:val="both"/>
        <w:rPr>
          <w:rFonts w:ascii="Verdana" w:hAnsi="Verdana"/>
          <w:sz w:val="20"/>
          <w:szCs w:val="20"/>
          <w:lang w:val="en-GB"/>
        </w:rPr>
      </w:pPr>
      <w:r>
        <w:rPr>
          <w:rFonts w:ascii="Verdana" w:hAnsi="Verdana"/>
          <w:sz w:val="20"/>
          <w:szCs w:val="20"/>
          <w:lang w:val="en-GB"/>
        </w:rPr>
        <w:t xml:space="preserve">TARGET 96: provide 10 µl of each sample to screen up to 3 panels. Provide 20 µl of sample to screen 4-8 panels. </w:t>
      </w:r>
    </w:p>
    <w:p w14:paraId="5BDB592A" w14:textId="77777777" w:rsidR="00635AEF" w:rsidRDefault="00000000">
      <w:pPr>
        <w:pStyle w:val="ListParagraph"/>
        <w:jc w:val="both"/>
        <w:rPr>
          <w:rFonts w:ascii="Verdana" w:hAnsi="Verdana"/>
          <w:sz w:val="20"/>
          <w:szCs w:val="20"/>
          <w:lang w:val="en-GB"/>
        </w:rPr>
      </w:pPr>
      <w:r>
        <w:rPr>
          <w:rFonts w:ascii="Verdana" w:hAnsi="Verdana"/>
          <w:sz w:val="20"/>
          <w:szCs w:val="20"/>
          <w:lang w:val="en-GB"/>
        </w:rPr>
        <w:t>EXPLORE 834/1536: provide 30 µl of each sample.</w:t>
      </w:r>
    </w:p>
    <w:p w14:paraId="08F89407" w14:textId="77777777" w:rsidR="00635AEF" w:rsidRDefault="00000000">
      <w:pPr>
        <w:pStyle w:val="ListParagraph"/>
        <w:jc w:val="both"/>
        <w:rPr>
          <w:rFonts w:ascii="Verdana" w:hAnsi="Verdana"/>
          <w:sz w:val="20"/>
          <w:szCs w:val="20"/>
          <w:lang w:val="en-GB"/>
        </w:rPr>
      </w:pPr>
      <w:r>
        <w:rPr>
          <w:rFonts w:ascii="Verdana" w:hAnsi="Verdana"/>
          <w:sz w:val="20"/>
          <w:szCs w:val="20"/>
          <w:lang w:val="en-GB"/>
        </w:rPr>
        <w:t>EXPLORE 3072: provide 60 ul of each sample.</w:t>
      </w:r>
    </w:p>
    <w:p w14:paraId="43537602" w14:textId="77777777" w:rsidR="00635AEF" w:rsidRDefault="00000000">
      <w:pPr>
        <w:pStyle w:val="ListParagraph"/>
        <w:numPr>
          <w:ilvl w:val="0"/>
          <w:numId w:val="5"/>
        </w:numPr>
        <w:jc w:val="both"/>
        <w:rPr>
          <w:rFonts w:ascii="Verdana" w:hAnsi="Verdana"/>
          <w:sz w:val="20"/>
          <w:szCs w:val="20"/>
          <w:lang w:val="en-GB"/>
        </w:rPr>
      </w:pPr>
      <w:r>
        <w:rPr>
          <w:rFonts w:ascii="Verdana" w:hAnsi="Verdana"/>
          <w:sz w:val="20"/>
          <w:szCs w:val="20"/>
          <w:u w:val="single"/>
          <w:lang w:val="en-GB"/>
        </w:rPr>
        <w:t>Sample plate:</w:t>
      </w:r>
      <w:r>
        <w:rPr>
          <w:rFonts w:ascii="Verdana" w:hAnsi="Verdana"/>
          <w:sz w:val="20"/>
          <w:szCs w:val="20"/>
          <w:lang w:val="en-GB"/>
        </w:rPr>
        <w:t xml:space="preserve"> deliver your samples in a 96-well PCR plate full skirt Sarstedt #72.1980.202 with a seal from Life Technologies #4306311 or the biobanking system from Matrix, Thermo Fisher. Other suppliers have not been tested by Olink, therefore </w:t>
      </w:r>
      <w:r>
        <w:rPr>
          <w:rFonts w:ascii="Verdana" w:hAnsi="Verdana"/>
          <w:sz w:val="20"/>
          <w:szCs w:val="20"/>
          <w:u w:val="single"/>
          <w:lang w:val="en-GB"/>
        </w:rPr>
        <w:t>we strictly recommend using the above-mentioned products.</w:t>
      </w:r>
      <w:r>
        <w:rPr>
          <w:rFonts w:ascii="Verdana" w:hAnsi="Verdana"/>
          <w:sz w:val="20"/>
          <w:szCs w:val="20"/>
          <w:lang w:val="en-GB"/>
        </w:rPr>
        <w:t xml:space="preserve"> </w:t>
      </w:r>
    </w:p>
    <w:p w14:paraId="73E2FDAB" w14:textId="77777777" w:rsidR="00635AEF" w:rsidRDefault="00000000">
      <w:pPr>
        <w:pStyle w:val="ListParagraph"/>
        <w:numPr>
          <w:ilvl w:val="0"/>
          <w:numId w:val="5"/>
        </w:numPr>
        <w:jc w:val="both"/>
        <w:rPr>
          <w:rFonts w:ascii="Verdana" w:hAnsi="Verdana"/>
          <w:sz w:val="20"/>
          <w:szCs w:val="20"/>
          <w:lang w:val="en-GB"/>
        </w:rPr>
      </w:pPr>
      <w:r>
        <w:rPr>
          <w:rFonts w:ascii="Verdana" w:hAnsi="Verdana"/>
          <w:sz w:val="20"/>
          <w:szCs w:val="20"/>
          <w:lang w:val="en-GB"/>
        </w:rPr>
        <w:t>For cell or tissue lysate preparation protocols, we provide guidelines and optimized protocols. Ensure always equal total protein concentration in all samples.</w:t>
      </w:r>
    </w:p>
    <w:p w14:paraId="662A8C3E" w14:textId="77777777" w:rsidR="00635AEF" w:rsidRDefault="00000000">
      <w:pPr>
        <w:pStyle w:val="ListParagraph"/>
        <w:numPr>
          <w:ilvl w:val="0"/>
          <w:numId w:val="5"/>
        </w:numPr>
        <w:jc w:val="both"/>
        <w:rPr>
          <w:rFonts w:ascii="Verdana" w:hAnsi="Verdana"/>
          <w:sz w:val="20"/>
          <w:szCs w:val="20"/>
          <w:lang w:val="en-GB"/>
        </w:rPr>
      </w:pPr>
      <w:r>
        <w:rPr>
          <w:rFonts w:ascii="Verdana" w:hAnsi="Verdana"/>
          <w:sz w:val="20"/>
          <w:szCs w:val="20"/>
          <w:lang w:val="en-GB"/>
        </w:rPr>
        <w:t>Ensure that each well is properly sealed using the adhesive film (the adhesive film suggested above is suitable also for long-term storage of samples at -80°C).</w:t>
      </w:r>
    </w:p>
    <w:p w14:paraId="095321EF" w14:textId="77777777" w:rsidR="00635AEF" w:rsidRDefault="00000000">
      <w:pPr>
        <w:pStyle w:val="ListParagraph"/>
        <w:numPr>
          <w:ilvl w:val="0"/>
          <w:numId w:val="5"/>
        </w:numPr>
        <w:jc w:val="both"/>
        <w:rPr>
          <w:rFonts w:ascii="Verdana" w:hAnsi="Verdana"/>
          <w:sz w:val="20"/>
          <w:szCs w:val="20"/>
          <w:lang w:val="en-GB"/>
        </w:rPr>
      </w:pPr>
      <w:r>
        <w:rPr>
          <w:rFonts w:ascii="Verdana" w:hAnsi="Verdana"/>
          <w:sz w:val="20"/>
          <w:szCs w:val="20"/>
          <w:lang w:val="en-GB"/>
        </w:rPr>
        <w:t xml:space="preserve">Clearly mark sample plates (best is with a barcode) or tubes with your name and number of plate/tube (eg. Smith_Plate1) using temperature-resistant labels or marker pen. </w:t>
      </w:r>
    </w:p>
    <w:p w14:paraId="55498785" w14:textId="77777777" w:rsidR="00635AEF" w:rsidRDefault="00635AEF">
      <w:pPr>
        <w:rPr>
          <w:rFonts w:ascii="Verdana" w:hAnsi="Verdana"/>
          <w:b/>
          <w:sz w:val="20"/>
          <w:szCs w:val="20"/>
          <w:lang w:val="en-GB"/>
        </w:rPr>
      </w:pPr>
    </w:p>
    <w:p w14:paraId="00E0CDEA" w14:textId="77777777" w:rsidR="00635AEF" w:rsidRDefault="00635AEF">
      <w:pPr>
        <w:rPr>
          <w:rFonts w:ascii="Verdana" w:hAnsi="Verdana"/>
          <w:b/>
          <w:sz w:val="20"/>
          <w:szCs w:val="20"/>
          <w:lang w:val="en-GB"/>
        </w:rPr>
      </w:pPr>
    </w:p>
    <w:p w14:paraId="4B484041" w14:textId="77777777" w:rsidR="00635AEF" w:rsidRDefault="00000000">
      <w:pPr>
        <w:rPr>
          <w:rFonts w:ascii="Verdana" w:hAnsi="Verdana"/>
          <w:b/>
          <w:sz w:val="20"/>
          <w:szCs w:val="20"/>
          <w:lang w:val="en-GB"/>
        </w:rPr>
      </w:pPr>
      <w:r>
        <w:rPr>
          <w:rFonts w:ascii="Verdana" w:hAnsi="Verdana"/>
          <w:b/>
          <w:sz w:val="20"/>
          <w:szCs w:val="20"/>
          <w:lang w:val="en-GB"/>
        </w:rPr>
        <w:t xml:space="preserve">Plate layout: </w:t>
      </w:r>
    </w:p>
    <w:p w14:paraId="2DD5EAF0" w14:textId="77777777" w:rsidR="00635AEF" w:rsidRDefault="00000000">
      <w:pPr>
        <w:pStyle w:val="Style2"/>
        <w:rPr>
          <w:lang w:val="en-US"/>
        </w:rPr>
      </w:pPr>
      <w:r>
        <w:rPr>
          <w:noProof/>
          <w:lang w:val="en-US" w:eastAsia="en-US"/>
        </w:rPr>
        <w:drawing>
          <wp:inline distT="0" distB="0" distL="0" distR="0" wp14:anchorId="1357EE83" wp14:editId="2F65DF99">
            <wp:extent cx="3843866" cy="18672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2855" cy="1871579"/>
                    </a:xfrm>
                    <a:prstGeom prst="rect">
                      <a:avLst/>
                    </a:prstGeom>
                    <a:noFill/>
                  </pic:spPr>
                </pic:pic>
              </a:graphicData>
            </a:graphic>
          </wp:inline>
        </w:drawing>
      </w:r>
    </w:p>
    <w:p w14:paraId="02A2B8A8" w14:textId="77777777" w:rsidR="00635AEF" w:rsidRDefault="00635AEF">
      <w:pPr>
        <w:pStyle w:val="Style2"/>
        <w:rPr>
          <w:lang w:val="en-US"/>
        </w:rPr>
      </w:pPr>
    </w:p>
    <w:p w14:paraId="3792B2BD" w14:textId="77777777" w:rsidR="00635AEF" w:rsidRDefault="00635AEF">
      <w:pPr>
        <w:rPr>
          <w:rFonts w:ascii="Verdana" w:hAnsi="Verdana"/>
          <w:b/>
          <w:sz w:val="20"/>
          <w:szCs w:val="20"/>
          <w:lang w:val="en-GB"/>
        </w:rPr>
      </w:pPr>
    </w:p>
    <w:p w14:paraId="11DFCEDD" w14:textId="77777777" w:rsidR="00635AEF" w:rsidRDefault="00000000">
      <w:pPr>
        <w:pStyle w:val="ListParagraph"/>
        <w:numPr>
          <w:ilvl w:val="0"/>
          <w:numId w:val="9"/>
        </w:numPr>
        <w:rPr>
          <w:rFonts w:ascii="Verdana" w:hAnsi="Verdana"/>
          <w:b/>
          <w:sz w:val="20"/>
          <w:szCs w:val="20"/>
          <w:lang w:val="en-GB"/>
        </w:rPr>
      </w:pPr>
      <w:r>
        <w:rPr>
          <w:rFonts w:ascii="Verdana" w:hAnsi="Verdana"/>
          <w:b/>
          <w:sz w:val="20"/>
          <w:szCs w:val="20"/>
          <w:lang w:val="en-GB"/>
        </w:rPr>
        <w:t xml:space="preserve">SHIPPING: </w:t>
      </w:r>
    </w:p>
    <w:p w14:paraId="520FA25E" w14:textId="77777777" w:rsidR="00635AEF" w:rsidRDefault="00000000">
      <w:pPr>
        <w:pStyle w:val="Style2"/>
        <w:numPr>
          <w:ilvl w:val="0"/>
          <w:numId w:val="7"/>
        </w:numPr>
        <w:jc w:val="both"/>
        <w:rPr>
          <w:lang w:val="en-US"/>
        </w:rPr>
      </w:pPr>
      <w:r>
        <w:t xml:space="preserve">Ship samples in -80°C/dry-ice-resistant, non-protein binding plastics. </w:t>
      </w:r>
    </w:p>
    <w:p w14:paraId="3CD4BED3" w14:textId="77777777" w:rsidR="00635AEF" w:rsidRDefault="00000000">
      <w:pPr>
        <w:pStyle w:val="Style2"/>
        <w:numPr>
          <w:ilvl w:val="0"/>
          <w:numId w:val="7"/>
        </w:numPr>
        <w:jc w:val="both"/>
        <w:rPr>
          <w:lang w:val="en-US"/>
        </w:rPr>
      </w:pPr>
      <w:r>
        <w:rPr>
          <w:lang w:val="en-US"/>
        </w:rPr>
        <w:t>Make sure that the plates are securely sealed, add extra adsorption paper in case of leakage, and place the samples in a sealed bag.</w:t>
      </w:r>
    </w:p>
    <w:p w14:paraId="48A973DA" w14:textId="77777777" w:rsidR="00635AEF" w:rsidRDefault="00000000">
      <w:pPr>
        <w:pStyle w:val="Style2"/>
        <w:numPr>
          <w:ilvl w:val="0"/>
          <w:numId w:val="7"/>
        </w:numPr>
        <w:jc w:val="both"/>
        <w:rPr>
          <w:lang w:val="en-US"/>
        </w:rPr>
      </w:pPr>
      <w:r>
        <w:rPr>
          <w:lang w:val="en-US"/>
        </w:rPr>
        <w:t>Samples should be shipped on dry ice, sufficient for delivery to our Analysis Service lab.</w:t>
      </w:r>
    </w:p>
    <w:p w14:paraId="27CE4BD0" w14:textId="77777777" w:rsidR="00635AEF" w:rsidRDefault="00000000">
      <w:pPr>
        <w:pStyle w:val="Style2"/>
        <w:numPr>
          <w:ilvl w:val="0"/>
          <w:numId w:val="7"/>
        </w:numPr>
        <w:jc w:val="both"/>
        <w:rPr>
          <w:lang w:val="en-US"/>
        </w:rPr>
      </w:pPr>
      <w:r>
        <w:rPr>
          <w:lang w:val="en-US"/>
        </w:rPr>
        <w:t xml:space="preserve">For most customers it is recommended to ship the samples on Monday or Tuesday to avoid getting the samples held up at the courier’s office over the weekend. Upon arrival, the samples will be examined, and you will receive a confirmation email. Samples will be stored at -80°C at our facility. </w:t>
      </w:r>
    </w:p>
    <w:p w14:paraId="303F2755" w14:textId="77777777" w:rsidR="00635AEF" w:rsidRDefault="00000000">
      <w:pPr>
        <w:pStyle w:val="Style2"/>
        <w:ind w:left="858"/>
        <w:jc w:val="both"/>
        <w:rPr>
          <w:color w:val="FF0000"/>
        </w:rPr>
      </w:pPr>
      <w:r>
        <w:rPr>
          <w:b/>
          <w:color w:val="FF0000"/>
        </w:rPr>
        <w:t>NOTE:</w:t>
      </w:r>
      <w:r>
        <w:rPr>
          <w:color w:val="FF0000"/>
        </w:rPr>
        <w:t xml:space="preserve"> The Project Proposal and the Sample Submission Sheet should be filled in and emailed back to us </w:t>
      </w:r>
      <w:r>
        <w:rPr>
          <w:b/>
          <w:color w:val="FF0000"/>
          <w:u w:val="single"/>
        </w:rPr>
        <w:t>before</w:t>
      </w:r>
      <w:r>
        <w:rPr>
          <w:color w:val="FF0000"/>
        </w:rPr>
        <w:t xml:space="preserve"> you ship the samples.</w:t>
      </w:r>
    </w:p>
    <w:p w14:paraId="01D4A746" w14:textId="77777777" w:rsidR="00635AEF" w:rsidRDefault="00635AEF">
      <w:pPr>
        <w:pStyle w:val="Style2"/>
        <w:ind w:left="858"/>
        <w:jc w:val="both"/>
        <w:rPr>
          <w:lang w:val="en-US"/>
        </w:rPr>
      </w:pPr>
    </w:p>
    <w:p w14:paraId="5621CF2B" w14:textId="77777777" w:rsidR="00635AEF" w:rsidRDefault="00000000">
      <w:pPr>
        <w:pStyle w:val="ListParagraph"/>
        <w:numPr>
          <w:ilvl w:val="0"/>
          <w:numId w:val="9"/>
        </w:numPr>
        <w:rPr>
          <w:rFonts w:ascii="Verdana" w:hAnsi="Verdana"/>
          <w:b/>
          <w:sz w:val="20"/>
          <w:szCs w:val="20"/>
          <w:lang w:val="en-GB"/>
        </w:rPr>
      </w:pPr>
      <w:r>
        <w:rPr>
          <w:rFonts w:ascii="Verdana" w:hAnsi="Verdana"/>
          <w:b/>
          <w:sz w:val="20"/>
          <w:szCs w:val="20"/>
          <w:lang w:val="en-GB"/>
        </w:rPr>
        <w:t xml:space="preserve">RESULTS: </w:t>
      </w:r>
    </w:p>
    <w:p w14:paraId="6A157AF0" w14:textId="77777777" w:rsidR="00635AEF" w:rsidRDefault="00000000">
      <w:pPr>
        <w:pStyle w:val="Style2"/>
        <w:ind w:left="858"/>
        <w:jc w:val="both"/>
      </w:pPr>
      <w:r>
        <w:t xml:space="preserve">The results will usually be sent to you within 2-4 weeks after we received the samples. Once the samples have been analyzed and the data has gone through </w:t>
      </w:r>
      <w:r>
        <w:lastRenderedPageBreak/>
        <w:t xml:space="preserve">our Quality Control, you will receive the data presented in Normalized Protein eXpression (NPX) units in an Excel file, as well as a Certificate of Analysis (summary report). Olink results are presented as </w:t>
      </w:r>
      <w:r>
        <w:rPr>
          <w:u w:val="single"/>
        </w:rPr>
        <w:t>relative quantification data</w:t>
      </w:r>
      <w:r>
        <w:t xml:space="preserve"> and NPX is Olink’s arbitrary unit on a log2-scale. You can read more about NPX and data generation here: </w:t>
      </w:r>
    </w:p>
    <w:p w14:paraId="551A439F" w14:textId="77777777" w:rsidR="00635AEF" w:rsidRDefault="00000000">
      <w:pPr>
        <w:pStyle w:val="Style2"/>
        <w:ind w:left="858"/>
        <w:jc w:val="both"/>
      </w:pPr>
      <w:hyperlink r:id="rId13" w:history="1">
        <w:r>
          <w:rPr>
            <w:rStyle w:val="Hyperlink"/>
          </w:rPr>
          <w:t>https://www.olink.com/data-you-can-trust/data-generation-qc/</w:t>
        </w:r>
      </w:hyperlink>
    </w:p>
    <w:p w14:paraId="6BA0FCF5" w14:textId="77777777" w:rsidR="00635AEF" w:rsidRDefault="00635AEF">
      <w:pPr>
        <w:pStyle w:val="Style2"/>
        <w:ind w:left="858"/>
        <w:jc w:val="both"/>
      </w:pPr>
    </w:p>
    <w:p w14:paraId="1A1526D0" w14:textId="77777777" w:rsidR="00635AEF" w:rsidRDefault="00000000">
      <w:pPr>
        <w:pStyle w:val="ListParagraph"/>
        <w:numPr>
          <w:ilvl w:val="0"/>
          <w:numId w:val="9"/>
        </w:numPr>
        <w:rPr>
          <w:rFonts w:ascii="Verdana" w:hAnsi="Verdana"/>
          <w:b/>
          <w:sz w:val="20"/>
          <w:szCs w:val="20"/>
          <w:lang w:val="en-GB"/>
        </w:rPr>
      </w:pPr>
      <w:r>
        <w:rPr>
          <w:rFonts w:ascii="Verdana" w:hAnsi="Verdana"/>
          <w:b/>
          <w:sz w:val="20"/>
          <w:szCs w:val="20"/>
          <w:lang w:val="en-GB"/>
        </w:rPr>
        <w:t xml:space="preserve">MORE INFO ON DIFFERENT TOPICS: </w:t>
      </w:r>
    </w:p>
    <w:p w14:paraId="387EAAF1" w14:textId="77777777" w:rsidR="00635AEF" w:rsidRDefault="00000000">
      <w:pPr>
        <w:pStyle w:val="Style2"/>
        <w:ind w:left="858"/>
        <w:jc w:val="both"/>
      </w:pPr>
      <w:r>
        <w:t xml:space="preserve">Below you will find links to the resources referred to in this document, as well as other direct links to pages containing important information relating to Olink data generation and processing. </w:t>
      </w:r>
    </w:p>
    <w:p w14:paraId="6E70ADEC" w14:textId="77777777" w:rsidR="00635AEF" w:rsidRDefault="00000000">
      <w:pPr>
        <w:pStyle w:val="Style2"/>
        <w:numPr>
          <w:ilvl w:val="0"/>
          <w:numId w:val="8"/>
        </w:numPr>
        <w:jc w:val="both"/>
      </w:pPr>
      <w:r>
        <w:t xml:space="preserve">OLINK WHITE PAPERS: https://www.olink.com/white-papers </w:t>
      </w:r>
    </w:p>
    <w:p w14:paraId="73CD36C9" w14:textId="77777777" w:rsidR="00635AEF" w:rsidRDefault="00000000">
      <w:pPr>
        <w:pStyle w:val="Style2"/>
        <w:ind w:left="858" w:firstLine="222"/>
        <w:jc w:val="both"/>
        <w:rPr>
          <w:i/>
        </w:rPr>
      </w:pPr>
      <w:r>
        <w:rPr>
          <w:i/>
        </w:rPr>
        <w:t>Pre-analytical variation in protein biomarker research</w:t>
      </w:r>
    </w:p>
    <w:p w14:paraId="22BBA732" w14:textId="77777777" w:rsidR="00635AEF" w:rsidRDefault="00000000">
      <w:pPr>
        <w:pStyle w:val="Style2"/>
        <w:ind w:left="858" w:firstLine="222"/>
        <w:jc w:val="both"/>
        <w:rPr>
          <w:i/>
        </w:rPr>
      </w:pPr>
      <w:r>
        <w:rPr>
          <w:i/>
        </w:rPr>
        <w:t>Technical comparisons and orthogonal validation Olink vs. ELISA</w:t>
      </w:r>
    </w:p>
    <w:p w14:paraId="1409EB7B" w14:textId="77777777" w:rsidR="00635AEF" w:rsidRDefault="00000000">
      <w:pPr>
        <w:pStyle w:val="Style2"/>
        <w:ind w:left="858" w:firstLine="222"/>
        <w:jc w:val="both"/>
        <w:rPr>
          <w:i/>
        </w:rPr>
      </w:pPr>
      <w:r>
        <w:rPr>
          <w:i/>
        </w:rPr>
        <w:t>Strategies for the design of protein biomarker studies</w:t>
      </w:r>
    </w:p>
    <w:p w14:paraId="5B9B77A4" w14:textId="77777777" w:rsidR="00635AEF" w:rsidRDefault="00000000">
      <w:pPr>
        <w:pStyle w:val="Style2"/>
        <w:ind w:left="858" w:firstLine="222"/>
        <w:jc w:val="both"/>
        <w:rPr>
          <w:i/>
        </w:rPr>
      </w:pPr>
      <w:r>
        <w:rPr>
          <w:i/>
        </w:rPr>
        <w:t>Data normalization and standardization</w:t>
      </w:r>
    </w:p>
    <w:p w14:paraId="7649C3FD" w14:textId="77777777" w:rsidR="00635AEF" w:rsidRDefault="00000000">
      <w:pPr>
        <w:pStyle w:val="Style2"/>
        <w:ind w:left="1080"/>
        <w:jc w:val="both"/>
        <w:rPr>
          <w:i/>
        </w:rPr>
      </w:pPr>
      <w:r>
        <w:rPr>
          <w:i/>
        </w:rPr>
        <w:t>Development and validation of customized PEA biomarker panels with clinical utility</w:t>
      </w:r>
    </w:p>
    <w:p w14:paraId="06F0B2F4" w14:textId="77777777" w:rsidR="00635AEF" w:rsidRDefault="00000000">
      <w:pPr>
        <w:pStyle w:val="Style2"/>
        <w:ind w:left="858" w:firstLine="222"/>
        <w:jc w:val="both"/>
        <w:rPr>
          <w:i/>
        </w:rPr>
      </w:pPr>
      <w:r>
        <w:rPr>
          <w:i/>
        </w:rPr>
        <w:t>PEA – a high-multiplex immunoassay technology with qPCR or NGS readout</w:t>
      </w:r>
    </w:p>
    <w:p w14:paraId="5B0DFFCC" w14:textId="77777777" w:rsidR="00635AEF" w:rsidRDefault="00635AEF">
      <w:pPr>
        <w:pStyle w:val="Style2"/>
        <w:ind w:left="858" w:firstLine="222"/>
        <w:jc w:val="both"/>
        <w:rPr>
          <w:i/>
        </w:rPr>
      </w:pPr>
    </w:p>
    <w:p w14:paraId="431B280D" w14:textId="77777777" w:rsidR="00635AEF" w:rsidRDefault="00000000">
      <w:pPr>
        <w:pStyle w:val="Style2"/>
        <w:numPr>
          <w:ilvl w:val="0"/>
          <w:numId w:val="8"/>
        </w:numPr>
      </w:pPr>
      <w:r>
        <w:t xml:space="preserve">Sample randomization: </w:t>
      </w:r>
    </w:p>
    <w:p w14:paraId="03DC46A1" w14:textId="77777777" w:rsidR="00635AEF" w:rsidRDefault="00000000">
      <w:pPr>
        <w:pStyle w:val="Style2"/>
        <w:ind w:left="1080"/>
      </w:pPr>
      <w:hyperlink r:id="rId14" w:history="1">
        <w:r>
          <w:rPr>
            <w:rStyle w:val="Hyperlink"/>
          </w:rPr>
          <w:t>https://www.olink.com/question/sample-randomization</w:t>
        </w:r>
      </w:hyperlink>
    </w:p>
    <w:p w14:paraId="348E420A" w14:textId="77777777" w:rsidR="00635AEF" w:rsidRDefault="00000000">
      <w:pPr>
        <w:pStyle w:val="Style2"/>
        <w:numPr>
          <w:ilvl w:val="0"/>
          <w:numId w:val="8"/>
        </w:numPr>
      </w:pPr>
      <w:r>
        <w:t xml:space="preserve">Data normalization: </w:t>
      </w:r>
    </w:p>
    <w:p w14:paraId="50885246" w14:textId="77777777" w:rsidR="00635AEF" w:rsidRDefault="00000000">
      <w:pPr>
        <w:pStyle w:val="Style2"/>
        <w:ind w:left="1080"/>
      </w:pPr>
      <w:hyperlink r:id="rId15" w:history="1">
        <w:r>
          <w:rPr>
            <w:rStyle w:val="Hyperlink"/>
          </w:rPr>
          <w:t>https://www.olink.com/question/data-normalization</w:t>
        </w:r>
      </w:hyperlink>
    </w:p>
    <w:p w14:paraId="18C91CB3" w14:textId="77777777" w:rsidR="00635AEF" w:rsidRDefault="00000000">
      <w:pPr>
        <w:pStyle w:val="Style2"/>
        <w:numPr>
          <w:ilvl w:val="0"/>
          <w:numId w:val="8"/>
        </w:numPr>
      </w:pPr>
      <w:r>
        <w:t xml:space="preserve">Bridge sample normalization: </w:t>
      </w:r>
    </w:p>
    <w:p w14:paraId="765ECDA0" w14:textId="77777777" w:rsidR="00635AEF" w:rsidRDefault="00000000">
      <w:pPr>
        <w:pStyle w:val="Style2"/>
        <w:ind w:left="1080"/>
      </w:pPr>
      <w:hyperlink r:id="rId16" w:history="1">
        <w:r>
          <w:rPr>
            <w:rStyle w:val="Hyperlink"/>
          </w:rPr>
          <w:t>https://www.olink.com/question/how-can-i-compare-results-from-two-different-studies/</w:t>
        </w:r>
      </w:hyperlink>
    </w:p>
    <w:p w14:paraId="2E0361B8" w14:textId="77777777" w:rsidR="00635AEF" w:rsidRDefault="00000000">
      <w:pPr>
        <w:pStyle w:val="Style2"/>
        <w:numPr>
          <w:ilvl w:val="0"/>
          <w:numId w:val="8"/>
        </w:numPr>
      </w:pPr>
      <w:r>
        <w:t xml:space="preserve">How is the quality control performed? </w:t>
      </w:r>
    </w:p>
    <w:p w14:paraId="52C8AD94" w14:textId="77777777" w:rsidR="00635AEF" w:rsidRDefault="00000000">
      <w:pPr>
        <w:pStyle w:val="Style2"/>
        <w:ind w:left="1080"/>
      </w:pPr>
      <w:hyperlink r:id="rId17" w:history="1">
        <w:r>
          <w:rPr>
            <w:rStyle w:val="Hyperlink"/>
          </w:rPr>
          <w:t>https://www.olink.com/question/how-is-quality-control-of-the-data-performed</w:t>
        </w:r>
      </w:hyperlink>
    </w:p>
    <w:p w14:paraId="77B7E985" w14:textId="77777777" w:rsidR="00635AEF" w:rsidRDefault="00000000">
      <w:pPr>
        <w:pStyle w:val="Style2"/>
        <w:numPr>
          <w:ilvl w:val="0"/>
          <w:numId w:val="8"/>
        </w:numPr>
      </w:pPr>
      <w:r>
        <w:t xml:space="preserve">The NPX unit explained: </w:t>
      </w:r>
    </w:p>
    <w:p w14:paraId="65867C97" w14:textId="77777777" w:rsidR="00635AEF" w:rsidRDefault="00000000">
      <w:pPr>
        <w:pStyle w:val="Style2"/>
        <w:ind w:left="1080"/>
      </w:pPr>
      <w:hyperlink r:id="rId18" w:history="1">
        <w:r>
          <w:rPr>
            <w:rStyle w:val="Hyperlink"/>
          </w:rPr>
          <w:t>https://www.olink.com/question/what-is-npx</w:t>
        </w:r>
      </w:hyperlink>
    </w:p>
    <w:p w14:paraId="73668EA2" w14:textId="77777777" w:rsidR="00635AEF" w:rsidRDefault="00000000">
      <w:pPr>
        <w:pStyle w:val="Style2"/>
        <w:numPr>
          <w:ilvl w:val="0"/>
          <w:numId w:val="8"/>
        </w:numPr>
      </w:pPr>
      <w:r>
        <w:t xml:space="preserve">Generation of NPX data: </w:t>
      </w:r>
    </w:p>
    <w:p w14:paraId="407ADEA1" w14:textId="77777777" w:rsidR="00635AEF" w:rsidRDefault="00000000">
      <w:pPr>
        <w:pStyle w:val="Style2"/>
        <w:ind w:left="1080"/>
      </w:pPr>
      <w:hyperlink r:id="rId19" w:history="1">
        <w:r>
          <w:rPr>
            <w:rStyle w:val="Hyperlink"/>
          </w:rPr>
          <w:t>https://www.olink.com/question/how-is-the-data-pre-processed</w:t>
        </w:r>
      </w:hyperlink>
      <w:r>
        <w:t xml:space="preserve"> </w:t>
      </w:r>
    </w:p>
    <w:p w14:paraId="44BB910B" w14:textId="77777777" w:rsidR="00635AEF" w:rsidRDefault="00000000">
      <w:pPr>
        <w:pStyle w:val="Style2"/>
        <w:numPr>
          <w:ilvl w:val="0"/>
          <w:numId w:val="8"/>
        </w:numPr>
      </w:pPr>
      <w:r>
        <w:t xml:space="preserve">Limit of detection: </w:t>
      </w:r>
    </w:p>
    <w:p w14:paraId="6AB82291" w14:textId="77777777" w:rsidR="00635AEF" w:rsidRDefault="00000000">
      <w:pPr>
        <w:pStyle w:val="Style2"/>
        <w:ind w:left="1080"/>
      </w:pPr>
      <w:hyperlink r:id="rId20" w:history="1">
        <w:r>
          <w:rPr>
            <w:rStyle w:val="Hyperlink"/>
          </w:rPr>
          <w:t>https://www.olink.com/question/how-is-the-limit-of-detection-lod-estimated-and-handled</w:t>
        </w:r>
      </w:hyperlink>
    </w:p>
    <w:p w14:paraId="35131122" w14:textId="77777777" w:rsidR="00635AEF" w:rsidRDefault="00635AEF">
      <w:pPr>
        <w:pStyle w:val="Style2"/>
        <w:ind w:left="858"/>
        <w:jc w:val="both"/>
        <w:rPr>
          <w:color w:val="FF0000"/>
          <w:lang w:val="en-US"/>
        </w:rPr>
      </w:pPr>
    </w:p>
    <w:p w14:paraId="378513E1" w14:textId="77777777" w:rsidR="00635AEF" w:rsidRDefault="00635AEF">
      <w:pPr>
        <w:pStyle w:val="Style2"/>
        <w:ind w:left="858"/>
        <w:jc w:val="both"/>
      </w:pPr>
    </w:p>
    <w:p w14:paraId="07586001" w14:textId="77777777" w:rsidR="00635AEF" w:rsidRDefault="00635AEF">
      <w:pPr>
        <w:pStyle w:val="Style2"/>
        <w:ind w:left="858"/>
        <w:jc w:val="both"/>
        <w:rPr>
          <w:color w:val="FF0000"/>
        </w:rPr>
      </w:pPr>
    </w:p>
    <w:p w14:paraId="6467C1DB" w14:textId="77777777" w:rsidR="00635AEF" w:rsidRDefault="00635AEF">
      <w:pPr>
        <w:pStyle w:val="Style2"/>
        <w:ind w:left="858"/>
        <w:jc w:val="both"/>
        <w:rPr>
          <w:color w:val="FF0000"/>
        </w:rPr>
      </w:pPr>
    </w:p>
    <w:p w14:paraId="7B84D0F0" w14:textId="77777777" w:rsidR="00635AEF" w:rsidRDefault="00635AEF">
      <w:pPr>
        <w:pStyle w:val="Style2"/>
        <w:ind w:left="858"/>
        <w:jc w:val="both"/>
        <w:rPr>
          <w:color w:val="FF0000"/>
        </w:rPr>
      </w:pPr>
    </w:p>
    <w:sectPr w:rsidR="00635AEF">
      <w:headerReference w:type="default" r:id="rId21"/>
      <w:footerReference w:type="default" r:id="rId22"/>
      <w:pgSz w:w="11906" w:h="16838"/>
      <w:pgMar w:top="1417" w:right="1417" w:bottom="71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1BE" w14:textId="77777777" w:rsidR="001269B0" w:rsidRDefault="001269B0">
      <w:r>
        <w:separator/>
      </w:r>
    </w:p>
  </w:endnote>
  <w:endnote w:type="continuationSeparator" w:id="0">
    <w:p w14:paraId="1E845701" w14:textId="77777777" w:rsidR="001269B0" w:rsidRDefault="0012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656508"/>
      <w:docPartObj>
        <w:docPartGallery w:val="Page Numbers (Bottom of Page)"/>
        <w:docPartUnique/>
      </w:docPartObj>
    </w:sdtPr>
    <w:sdtEndPr>
      <w:rPr>
        <w:noProof/>
      </w:rPr>
    </w:sdtEndPr>
    <w:sdtContent>
      <w:p w14:paraId="2DEBE31F" w14:textId="77777777" w:rsidR="00635AE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4FABF" w14:textId="77777777" w:rsidR="00635AEF" w:rsidRDefault="0063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AA8D" w14:textId="77777777" w:rsidR="001269B0" w:rsidRDefault="001269B0">
      <w:r>
        <w:separator/>
      </w:r>
    </w:p>
  </w:footnote>
  <w:footnote w:type="continuationSeparator" w:id="0">
    <w:p w14:paraId="3CAB461A" w14:textId="77777777" w:rsidR="001269B0" w:rsidRDefault="0012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2"/>
      <w:gridCol w:w="4180"/>
    </w:tblGrid>
    <w:tr w:rsidR="00635AEF" w14:paraId="5EB52C48" w14:textId="77777777">
      <w:trPr>
        <w:trHeight w:val="495"/>
      </w:trPr>
      <w:tc>
        <w:tcPr>
          <w:tcW w:w="4962" w:type="dxa"/>
          <w:shd w:val="clear" w:color="auto" w:fill="E6E6E6"/>
        </w:tcPr>
        <w:p w14:paraId="4F4392BC" w14:textId="77777777" w:rsidR="00635AEF" w:rsidRDefault="00000000">
          <w:pPr>
            <w:pStyle w:val="Heading1"/>
            <w:spacing w:before="0" w:beforeAutospacing="0" w:after="0" w:afterAutospacing="0"/>
            <w:jc w:val="both"/>
            <w:rPr>
              <w:rFonts w:ascii="Verdana" w:hAnsi="Verdana"/>
              <w:sz w:val="20"/>
              <w:szCs w:val="22"/>
              <w:lang w:val="en-GB"/>
            </w:rPr>
          </w:pPr>
          <w:r>
            <w:rPr>
              <w:rFonts w:ascii="Verdana" w:hAnsi="Verdana"/>
              <w:sz w:val="20"/>
              <w:szCs w:val="22"/>
              <w:lang w:val="en-GB"/>
            </w:rPr>
            <w:t xml:space="preserve">Metabolomics and Proteomics </w:t>
          </w:r>
        </w:p>
        <w:p w14:paraId="6E6116CD" w14:textId="77777777" w:rsidR="00635AEF" w:rsidRDefault="00000000">
          <w:pPr>
            <w:pStyle w:val="Heading1"/>
            <w:spacing w:before="0" w:beforeAutospacing="0" w:after="0" w:afterAutospacing="0"/>
            <w:jc w:val="both"/>
            <w:rPr>
              <w:rFonts w:ascii="Verdana" w:hAnsi="Verdana"/>
              <w:sz w:val="20"/>
              <w:szCs w:val="22"/>
              <w:lang w:val="en-GB"/>
            </w:rPr>
          </w:pPr>
          <w:r>
            <w:rPr>
              <w:rFonts w:ascii="Verdana" w:hAnsi="Verdana"/>
              <w:sz w:val="20"/>
              <w:szCs w:val="22"/>
              <w:lang w:val="en-GB"/>
            </w:rPr>
            <w:t xml:space="preserve">Core Facility (MPC) </w:t>
          </w:r>
        </w:p>
        <w:p w14:paraId="1DB4B4E1" w14:textId="77777777" w:rsidR="00635AEF" w:rsidRDefault="00000000" w:rsidP="00C3192C">
          <w:pPr>
            <w:pStyle w:val="Heading1"/>
            <w:spacing w:before="0" w:beforeAutospacing="0" w:after="0" w:afterAutospacing="0"/>
            <w:jc w:val="both"/>
            <w:rPr>
              <w:rFonts w:ascii="Verdana" w:hAnsi="Verdana"/>
              <w:sz w:val="20"/>
              <w:szCs w:val="22"/>
            </w:rPr>
          </w:pPr>
          <w:r>
            <w:rPr>
              <w:rFonts w:ascii="Verdana" w:hAnsi="Verdana"/>
              <w:sz w:val="20"/>
              <w:szCs w:val="22"/>
            </w:rPr>
            <w:t>Dr. Stefanie Hauck</w:t>
          </w:r>
        </w:p>
        <w:p w14:paraId="388BDFB3" w14:textId="77777777" w:rsidR="00C3192C" w:rsidRPr="00C3192C" w:rsidRDefault="00C3192C" w:rsidP="00C3192C">
          <w:pPr>
            <w:pStyle w:val="Heading1"/>
            <w:spacing w:before="0" w:beforeAutospacing="0" w:after="0" w:afterAutospacing="0"/>
            <w:jc w:val="both"/>
            <w:rPr>
              <w:rFonts w:ascii="Verdana" w:hAnsi="Verdana"/>
              <w:sz w:val="20"/>
              <w:szCs w:val="22"/>
            </w:rPr>
          </w:pPr>
        </w:p>
      </w:tc>
      <w:tc>
        <w:tcPr>
          <w:tcW w:w="4180" w:type="dxa"/>
          <w:vMerge w:val="restart"/>
        </w:tcPr>
        <w:p w14:paraId="6911A633" w14:textId="77777777" w:rsidR="00635AEF" w:rsidRDefault="00000000">
          <w:pPr>
            <w:pStyle w:val="Header"/>
            <w:rPr>
              <w:rFonts w:ascii="Verdana" w:hAnsi="Verdana"/>
              <w:b/>
              <w:color w:val="333333"/>
            </w:rPr>
          </w:pPr>
          <w:r>
            <w:rPr>
              <w:rFonts w:ascii="Verdana" w:hAnsi="Verdana"/>
              <w:b/>
              <w:noProof/>
              <w:color w:val="333333"/>
            </w:rPr>
            <w:drawing>
              <wp:anchor distT="0" distB="0" distL="114300" distR="114300" simplePos="0" relativeHeight="251658240" behindDoc="0" locked="0" layoutInCell="1" allowOverlap="1" wp14:anchorId="15A3C6AF" wp14:editId="4709D8CD">
                <wp:simplePos x="0" y="0"/>
                <wp:positionH relativeFrom="column">
                  <wp:posOffset>307340</wp:posOffset>
                </wp:positionH>
                <wp:positionV relativeFrom="paragraph">
                  <wp:posOffset>138430</wp:posOffset>
                </wp:positionV>
                <wp:extent cx="188722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Munich-Logo-Stacked-Lockup-Purple-Red-CMYK.tif"/>
                        <pic:cNvPicPr/>
                      </pic:nvPicPr>
                      <pic:blipFill>
                        <a:blip r:embed="rId1"/>
                        <a:stretch>
                          <a:fillRect/>
                        </a:stretch>
                      </pic:blipFill>
                      <pic:spPr>
                        <a:xfrm>
                          <a:off x="0" y="0"/>
                          <a:ext cx="1887220" cy="640080"/>
                        </a:xfrm>
                        <a:prstGeom prst="rect">
                          <a:avLst/>
                        </a:prstGeom>
                      </pic:spPr>
                    </pic:pic>
                  </a:graphicData>
                </a:graphic>
                <wp14:sizeRelH relativeFrom="margin">
                  <wp14:pctWidth>0</wp14:pctWidth>
                </wp14:sizeRelH>
                <wp14:sizeRelV relativeFrom="margin">
                  <wp14:pctHeight>0</wp14:pctHeight>
                </wp14:sizeRelV>
              </wp:anchor>
            </w:drawing>
          </w:r>
        </w:p>
        <w:p w14:paraId="6521DA00" w14:textId="77777777" w:rsidR="00635AEF" w:rsidRDefault="00635AEF">
          <w:pPr>
            <w:pStyle w:val="Header"/>
            <w:rPr>
              <w:rFonts w:ascii="Verdana" w:hAnsi="Verdana"/>
              <w:b/>
              <w:color w:val="333333"/>
            </w:rPr>
          </w:pPr>
        </w:p>
      </w:tc>
    </w:tr>
    <w:tr w:rsidR="00635AEF" w14:paraId="0B3F169A" w14:textId="77777777">
      <w:trPr>
        <w:trHeight w:val="83"/>
      </w:trPr>
      <w:tc>
        <w:tcPr>
          <w:tcW w:w="4962" w:type="dxa"/>
          <w:shd w:val="clear" w:color="auto" w:fill="000000"/>
        </w:tcPr>
        <w:p w14:paraId="6770B0C7" w14:textId="77777777" w:rsidR="00635AEF" w:rsidRDefault="00000000">
          <w:pPr>
            <w:pStyle w:val="Header"/>
            <w:spacing w:before="40" w:after="40"/>
            <w:rPr>
              <w:rFonts w:ascii="Verdana" w:hAnsi="Verdana" w:cs="Courier New"/>
              <w:color w:val="FF0000"/>
              <w:sz w:val="20"/>
              <w:szCs w:val="20"/>
              <w:lang w:val="en-GB"/>
            </w:rPr>
          </w:pPr>
          <w:r>
            <w:rPr>
              <w:rFonts w:ascii="Verdana" w:hAnsi="Verdana" w:cs="Courier New"/>
              <w:b/>
              <w:color w:val="B8CCE4" w:themeColor="accent1" w:themeTint="66"/>
              <w:lang w:val="en-GB"/>
            </w:rPr>
            <w:t>Project Proposal Olink</w:t>
          </w:r>
        </w:p>
      </w:tc>
      <w:tc>
        <w:tcPr>
          <w:tcW w:w="4180" w:type="dxa"/>
          <w:vMerge/>
        </w:tcPr>
        <w:p w14:paraId="693AAE56" w14:textId="77777777" w:rsidR="00635AEF" w:rsidRDefault="00635AEF">
          <w:pPr>
            <w:pStyle w:val="Header"/>
            <w:rPr>
              <w:rFonts w:ascii="Verdana" w:hAnsi="Verdana"/>
              <w:b/>
              <w:color w:val="FF0000"/>
              <w:sz w:val="22"/>
              <w:szCs w:val="22"/>
              <w:lang w:val="en-GB"/>
            </w:rPr>
          </w:pPr>
        </w:p>
      </w:tc>
    </w:tr>
  </w:tbl>
  <w:p w14:paraId="0E52C101" w14:textId="77777777" w:rsidR="00635AEF" w:rsidRDefault="00635AEF">
    <w:pPr>
      <w:rPr>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9C0"/>
    <w:multiLevelType w:val="hybridMultilevel"/>
    <w:tmpl w:val="2918E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0C6EC7"/>
    <w:multiLevelType w:val="hybridMultilevel"/>
    <w:tmpl w:val="B2D06566"/>
    <w:lvl w:ilvl="0" w:tplc="119A92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D04A4"/>
    <w:multiLevelType w:val="hybridMultilevel"/>
    <w:tmpl w:val="04905124"/>
    <w:lvl w:ilvl="0" w:tplc="119A922A">
      <w:start w:val="1"/>
      <w:numFmt w:val="bullet"/>
      <w:lvlText w:val=""/>
      <w:lvlJc w:val="left"/>
      <w:pPr>
        <w:tabs>
          <w:tab w:val="num" w:pos="737"/>
        </w:tabs>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366BF4"/>
    <w:multiLevelType w:val="hybridMultilevel"/>
    <w:tmpl w:val="5F722B44"/>
    <w:lvl w:ilvl="0" w:tplc="04070001">
      <w:start w:val="1"/>
      <w:numFmt w:val="bullet"/>
      <w:lvlText w:val=""/>
      <w:lvlJc w:val="left"/>
      <w:pPr>
        <w:ind w:left="858" w:hanging="360"/>
      </w:pPr>
      <w:rPr>
        <w:rFonts w:ascii="Symbol" w:hAnsi="Symbol" w:hint="default"/>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4" w15:restartNumberingAfterBreak="0">
    <w:nsid w:val="36ED519E"/>
    <w:multiLevelType w:val="hybridMultilevel"/>
    <w:tmpl w:val="72A6C12E"/>
    <w:lvl w:ilvl="0" w:tplc="119A92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87C60"/>
    <w:multiLevelType w:val="hybridMultilevel"/>
    <w:tmpl w:val="9A52E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3D0CCA"/>
    <w:multiLevelType w:val="hybridMultilevel"/>
    <w:tmpl w:val="ED988C90"/>
    <w:lvl w:ilvl="0" w:tplc="302436F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E56F06"/>
    <w:multiLevelType w:val="hybridMultilevel"/>
    <w:tmpl w:val="CDE0B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B3F42"/>
    <w:multiLevelType w:val="hybridMultilevel"/>
    <w:tmpl w:val="F6B626A8"/>
    <w:lvl w:ilvl="0" w:tplc="119A922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4165370">
    <w:abstractNumId w:val="1"/>
  </w:num>
  <w:num w:numId="2" w16cid:durableId="838158771">
    <w:abstractNumId w:val="8"/>
  </w:num>
  <w:num w:numId="3" w16cid:durableId="1502113809">
    <w:abstractNumId w:val="2"/>
  </w:num>
  <w:num w:numId="4" w16cid:durableId="1485506160">
    <w:abstractNumId w:val="4"/>
  </w:num>
  <w:num w:numId="5" w16cid:durableId="1920094464">
    <w:abstractNumId w:val="0"/>
  </w:num>
  <w:num w:numId="6" w16cid:durableId="1090198781">
    <w:abstractNumId w:val="5"/>
  </w:num>
  <w:num w:numId="7" w16cid:durableId="596401905">
    <w:abstractNumId w:val="3"/>
  </w:num>
  <w:num w:numId="8" w16cid:durableId="81340954">
    <w:abstractNumId w:val="6"/>
  </w:num>
  <w:num w:numId="9" w16cid:durableId="1836332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EF"/>
    <w:rsid w:val="001269B0"/>
    <w:rsid w:val="00635AEF"/>
    <w:rsid w:val="00C31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CBA5D"/>
  <w15:docId w15:val="{4670EBE2-1BE5-4899-A524-605E1F93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eastAsia="MS Mincho"/>
      <w:b/>
      <w:bCs/>
      <w:kern w:val="36"/>
      <w:sz w:val="48"/>
      <w:szCs w:val="48"/>
      <w:lang w:eastAsia="ja-JP"/>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tyle1">
    <w:name w:val="Style1"/>
    <w:basedOn w:val="Heading3"/>
    <w:link w:val="Style1Char"/>
    <w:pPr>
      <w:spacing w:before="100"/>
    </w:pPr>
    <w:rPr>
      <w:rFonts w:ascii="Verdana" w:hAnsi="Verdana"/>
      <w:sz w:val="24"/>
      <w:lang w:val="en-GB"/>
    </w:rPr>
  </w:style>
  <w:style w:type="character" w:customStyle="1" w:styleId="Heading3Char">
    <w:name w:val="Heading 3 Char"/>
    <w:link w:val="Heading3"/>
    <w:rPr>
      <w:rFonts w:ascii="Arial" w:hAnsi="Arial" w:cs="Arial"/>
      <w:b/>
      <w:bCs/>
      <w:sz w:val="26"/>
      <w:szCs w:val="26"/>
      <w:lang w:val="de-DE" w:eastAsia="de-DE" w:bidi="ar-SA"/>
    </w:rPr>
  </w:style>
  <w:style w:type="character" w:customStyle="1" w:styleId="Style1Char">
    <w:name w:val="Style1 Char"/>
    <w:link w:val="Style1"/>
    <w:rPr>
      <w:rFonts w:ascii="Verdana" w:hAnsi="Verdana" w:cs="Arial"/>
      <w:b/>
      <w:bCs/>
      <w:sz w:val="24"/>
      <w:szCs w:val="26"/>
      <w:lang w:val="en-GB" w:eastAsia="de-DE" w:bidi="ar-SA"/>
    </w:rPr>
  </w:style>
  <w:style w:type="paragraph" w:customStyle="1" w:styleId="Style2">
    <w:name w:val="Style2"/>
    <w:basedOn w:val="Normal"/>
    <w:pPr>
      <w:spacing w:before="20"/>
    </w:pPr>
    <w:rPr>
      <w:rFonts w:ascii="Verdana" w:hAnsi="Verdana"/>
      <w:bCs/>
      <w:sz w:val="20"/>
      <w:szCs w:val="20"/>
      <w:lang w:val="en-GB"/>
    </w:rPr>
  </w:style>
  <w:style w:type="character" w:customStyle="1" w:styleId="object">
    <w:name w:val="object"/>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themeColor="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table" w:styleId="TableGrid">
    <w:name w:val="Table Grid"/>
    <w:basedOn w:val="TableNormal"/>
    <w:uiPriority w:val="3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themeColor="followedHyperlink"/>
      <w:u w:val="single"/>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718">
      <w:bodyDiv w:val="1"/>
      <w:marLeft w:val="0"/>
      <w:marRight w:val="0"/>
      <w:marTop w:val="0"/>
      <w:marBottom w:val="0"/>
      <w:divBdr>
        <w:top w:val="none" w:sz="0" w:space="0" w:color="auto"/>
        <w:left w:val="none" w:sz="0" w:space="0" w:color="auto"/>
        <w:bottom w:val="none" w:sz="0" w:space="0" w:color="auto"/>
        <w:right w:val="none" w:sz="0" w:space="0" w:color="auto"/>
      </w:divBdr>
    </w:div>
    <w:div w:id="148712257">
      <w:bodyDiv w:val="1"/>
      <w:marLeft w:val="0"/>
      <w:marRight w:val="0"/>
      <w:marTop w:val="0"/>
      <w:marBottom w:val="0"/>
      <w:divBdr>
        <w:top w:val="none" w:sz="0" w:space="0" w:color="auto"/>
        <w:left w:val="none" w:sz="0" w:space="0" w:color="auto"/>
        <w:bottom w:val="none" w:sz="0" w:space="0" w:color="auto"/>
        <w:right w:val="none" w:sz="0" w:space="0" w:color="auto"/>
      </w:divBdr>
    </w:div>
    <w:div w:id="831529103">
      <w:bodyDiv w:val="1"/>
      <w:marLeft w:val="0"/>
      <w:marRight w:val="0"/>
      <w:marTop w:val="0"/>
      <w:marBottom w:val="0"/>
      <w:divBdr>
        <w:top w:val="none" w:sz="0" w:space="0" w:color="auto"/>
        <w:left w:val="none" w:sz="0" w:space="0" w:color="auto"/>
        <w:bottom w:val="none" w:sz="0" w:space="0" w:color="auto"/>
        <w:right w:val="none" w:sz="0" w:space="0" w:color="auto"/>
      </w:divBdr>
    </w:div>
    <w:div w:id="1230841810">
      <w:bodyDiv w:val="1"/>
      <w:marLeft w:val="0"/>
      <w:marRight w:val="0"/>
      <w:marTop w:val="0"/>
      <w:marBottom w:val="0"/>
      <w:divBdr>
        <w:top w:val="none" w:sz="0" w:space="0" w:color="auto"/>
        <w:left w:val="none" w:sz="0" w:space="0" w:color="auto"/>
        <w:bottom w:val="none" w:sz="0" w:space="0" w:color="auto"/>
        <w:right w:val="none" w:sz="0" w:space="0" w:color="auto"/>
      </w:divBdr>
    </w:div>
    <w:div w:id="1825969006">
      <w:bodyDiv w:val="1"/>
      <w:marLeft w:val="0"/>
      <w:marRight w:val="0"/>
      <w:marTop w:val="0"/>
      <w:marBottom w:val="0"/>
      <w:divBdr>
        <w:top w:val="none" w:sz="0" w:space="0" w:color="auto"/>
        <w:left w:val="none" w:sz="0" w:space="0" w:color="auto"/>
        <w:bottom w:val="none" w:sz="0" w:space="0" w:color="auto"/>
        <w:right w:val="none" w:sz="0" w:space="0" w:color="auto"/>
      </w:divBdr>
    </w:div>
    <w:div w:id="1913809873">
      <w:bodyDiv w:val="1"/>
      <w:marLeft w:val="0"/>
      <w:marRight w:val="0"/>
      <w:marTop w:val="0"/>
      <w:marBottom w:val="0"/>
      <w:divBdr>
        <w:top w:val="none" w:sz="0" w:space="0" w:color="auto"/>
        <w:left w:val="none" w:sz="0" w:space="0" w:color="auto"/>
        <w:bottom w:val="none" w:sz="0" w:space="0" w:color="auto"/>
        <w:right w:val="none" w:sz="0" w:space="0" w:color="auto"/>
      </w:divBdr>
    </w:div>
    <w:div w:id="20952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link.com/data-you-can-trust/data-generation-qc/" TargetMode="External"/><Relationship Id="rId18" Type="http://schemas.openxmlformats.org/officeDocument/2006/relationships/hyperlink" Target="https://www.olink.com/question/what-is-n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link.com/question/how-is-quality-control-of-the-data-performed" TargetMode="External"/><Relationship Id="rId2" Type="http://schemas.openxmlformats.org/officeDocument/2006/relationships/numbering" Target="numbering.xml"/><Relationship Id="rId16" Type="http://schemas.openxmlformats.org/officeDocument/2006/relationships/hyperlink" Target="https://www.olink.com/question/how-can-i-compare-results-from-two-different-studies/" TargetMode="External"/><Relationship Id="rId20" Type="http://schemas.openxmlformats.org/officeDocument/2006/relationships/hyperlink" Target="https://www.olink.com/question/how-is-the-limit-of-detection-lod-estimated-and-hand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link.com/question/data-normalization" TargetMode="External"/><Relationship Id="rId23" Type="http://schemas.openxmlformats.org/officeDocument/2006/relationships/fontTable" Target="fontTable.xml"/><Relationship Id="rId10" Type="http://schemas.openxmlformats.org/officeDocument/2006/relationships/hyperlink" Target="https://www.helmholtz-muenchen.de/en/privacy-statement/index.html" TargetMode="External"/><Relationship Id="rId19" Type="http://schemas.openxmlformats.org/officeDocument/2006/relationships/hyperlink" Target="https://www.olink.com/question/how-is-the-data-pre-processed" TargetMode="External"/><Relationship Id="rId4" Type="http://schemas.openxmlformats.org/officeDocument/2006/relationships/settings" Target="settings.xml"/><Relationship Id="rId9" Type="http://schemas.openxmlformats.org/officeDocument/2006/relationships/hyperlink" Target="https://www.helmholtz-muenchen.de/en/privacy-statement/index.html" TargetMode="External"/><Relationship Id="rId14" Type="http://schemas.openxmlformats.org/officeDocument/2006/relationships/hyperlink" Target="https://www.olink.com/question/sample-randomiz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NA~1.DOE\AppData\Local\Temp\ProjectProposal_PROT_templa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6EB1-EA4A-4143-A146-5C19CE8A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ProjectProposal_PROT_template.dot</Template>
  <TotalTime>0</TotalTime>
  <Pages>1</Pages>
  <Words>1454</Words>
  <Characters>8293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Helmholtz Zentrum Muenchen</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Windows User</dc:creator>
  <cp:lastModifiedBy>Stefania Petricca</cp:lastModifiedBy>
  <cp:revision>4</cp:revision>
  <dcterms:created xsi:type="dcterms:W3CDTF">2022-09-28T08:57:00Z</dcterms:created>
  <dcterms:modified xsi:type="dcterms:W3CDTF">2023-06-21T10:16:00Z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e477e45f51e78d941d980455d85b329d14023c1aad59bc0e11af71ce76ee75af</vt:lpwstr>
  </property>
</Properties>
</file>